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1F198">
      <w:pPr>
        <w:ind w:firstLine="422" w:firstLineChars="200"/>
        <w:jc w:val="center"/>
        <w:rPr>
          <w:b/>
        </w:rPr>
      </w:pPr>
      <w:r>
        <w:rPr>
          <w:rFonts w:hint="eastAsia"/>
          <w:b/>
        </w:rPr>
        <w:t>成都苑东生物制药股份有限公司简介</w:t>
      </w:r>
    </w:p>
    <w:p w14:paraId="6C2E0DB0"/>
    <w:p w14:paraId="3DCFFEFE">
      <w:pPr>
        <w:ind w:firstLine="420" w:firstLineChars="200"/>
      </w:pPr>
      <w:bookmarkStart w:id="0" w:name="OLE_LINK1"/>
      <w:r>
        <w:rPr>
          <w:rFonts w:hint="eastAsia"/>
        </w:rPr>
        <w:t>成都苑东生物制药股份有限公司是一家以研发创新驱动，集化学原料药、高端化学药及生物药研发、生产、销售于一体的高新技术企业，公司成立于2009年，下设</w:t>
      </w:r>
      <w:r>
        <w:t>8</w:t>
      </w:r>
      <w:r>
        <w:rPr>
          <w:rFonts w:hint="eastAsia"/>
        </w:rPr>
        <w:t>家全资子公司</w:t>
      </w:r>
      <w:bookmarkEnd w:id="0"/>
      <w:r>
        <w:rPr>
          <w:rFonts w:hint="eastAsia"/>
        </w:rPr>
        <w:t>，现有员工一千四百余人。公司于2020年9月在上海证券交易所科创板挂牌上市（股票简称：苑东生物，股票代码：688513）。</w:t>
      </w:r>
    </w:p>
    <w:p w14:paraId="4C40DF69">
      <w:r>
        <w:drawing>
          <wp:inline distT="0" distB="0" distL="0" distR="0">
            <wp:extent cx="5274310" cy="3950335"/>
            <wp:effectExtent l="0" t="0" r="2540" b="0"/>
            <wp:docPr id="1427660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0694"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950335"/>
                    </a:xfrm>
                    <a:prstGeom prst="rect">
                      <a:avLst/>
                    </a:prstGeom>
                    <a:noFill/>
                    <a:ln>
                      <a:noFill/>
                    </a:ln>
                  </pic:spPr>
                </pic:pic>
              </a:graphicData>
            </a:graphic>
          </wp:inline>
        </w:drawing>
      </w:r>
    </w:p>
    <w:p w14:paraId="7D636C88">
      <w:pPr>
        <w:ind w:firstLine="420" w:firstLineChars="200"/>
      </w:pPr>
    </w:p>
    <w:p w14:paraId="6F761908">
      <w:pPr>
        <w:ind w:firstLine="420" w:firstLineChars="200"/>
      </w:pPr>
    </w:p>
    <w:p w14:paraId="6C05E568">
      <w:pPr>
        <w:ind w:firstLine="420" w:firstLineChars="200"/>
      </w:pPr>
      <w:r>
        <w:rPr>
          <w:rFonts w:hint="eastAsia"/>
        </w:rPr>
        <w:t>苑东生物始终坚持“以患者为中心，为人类健康沐浴阳光”的企业使命，依托持续的技术创新，逐步建立起国内领先、符合国际标准的研发技术及产业化平台，重点布局麻醉镇痛领域，同时兼顾心脑血管、肿瘤、儿童用药、内分泌等重大疾病领域，先后实现了50余个化学药制剂产品和3</w:t>
      </w:r>
      <w:r>
        <w:t>0</w:t>
      </w:r>
      <w:r>
        <w:rPr>
          <w:rFonts w:hint="eastAsia"/>
        </w:rPr>
        <w:t>余个化学原料药产品的产业化。已上市的制剂产品中包括</w:t>
      </w:r>
      <w:r>
        <w:t>7</w:t>
      </w:r>
      <w:r>
        <w:rPr>
          <w:rFonts w:hint="eastAsia"/>
        </w:rPr>
        <w:t>个国内首仿产品，40余个通过或视同通过一致性评价产品，</w:t>
      </w:r>
      <w:r>
        <w:t>10</w:t>
      </w:r>
      <w:r>
        <w:rPr>
          <w:rFonts w:hint="eastAsia"/>
        </w:rPr>
        <w:t>个产品中选国家药品集中采购。公司原料药产品中，1</w:t>
      </w:r>
      <w:r>
        <w:t>0</w:t>
      </w:r>
      <w:r>
        <w:rPr>
          <w:rFonts w:hint="eastAsia"/>
        </w:rPr>
        <w:t>余个化学原料药产品已出口国际市场。</w:t>
      </w:r>
    </w:p>
    <w:p w14:paraId="20AB420B">
      <w:pPr>
        <w:ind w:firstLine="420" w:firstLineChars="200"/>
      </w:pPr>
    </w:p>
    <w:p w14:paraId="65115678">
      <w:pPr>
        <w:ind w:firstLine="420"/>
      </w:pPr>
      <w:r>
        <w:rPr>
          <w:rFonts w:hint="eastAsia"/>
        </w:rPr>
        <w:t>苑东生物以研发创新驱动，近年来，持续保持高比例的研发投入打造研发核心竞争力近三年年均研发投入占营收比例2</w:t>
      </w:r>
      <w:r>
        <w:t>0%</w:t>
      </w:r>
      <w:r>
        <w:rPr>
          <w:rFonts w:hint="eastAsia"/>
        </w:rPr>
        <w:t>以上。公司研发中心建有国家企业技术中心、博士后科研工作站、四川省药物固态工程技术研究中心等多个研究平台；建立了药物晶型技术平台、缓控释技术平台、特药技术平台、创新药技术平台、临床试验平台等关键技术平台；拥有药物晶型集成创新与产业化技术、创新化合物结构设计合成与评价集成技术、缓控释技术与迟释技术、鼻喷给药制剂技术、制备工艺设计与精益控制技术、mRNA 原料合成技术等</w:t>
      </w:r>
      <w:r>
        <w:t>6</w:t>
      </w:r>
      <w:r>
        <w:rPr>
          <w:rFonts w:hint="eastAsia"/>
        </w:rPr>
        <w:t>大类核心技术，组建了一支多元化、国际化、专业化的研发团队。凭借国内领先的研发实力，公司先后主持国家重点研发计划</w:t>
      </w:r>
      <w:r>
        <w:t>2</w:t>
      </w:r>
      <w:r>
        <w:rPr>
          <w:rFonts w:hint="eastAsia"/>
        </w:rPr>
        <w:t>项，国家重大新药创制专项5项，累计承担国家及省部级课题</w:t>
      </w:r>
      <w:r>
        <w:t>60</w:t>
      </w:r>
      <w:r>
        <w:rPr>
          <w:rFonts w:hint="eastAsia"/>
        </w:rPr>
        <w:t>余项，累计申请专利近400项，已获得授权153项，其中21项国际授权发明专利。。在聚焦领域，苑东生物以全球化视野布局</w:t>
      </w:r>
      <w:r>
        <w:t>80</w:t>
      </w:r>
      <w:r>
        <w:rPr>
          <w:rFonts w:hint="eastAsia"/>
        </w:rPr>
        <w:t>多个在研项目，其中创新药项目占比约18.5%，多个新药项目分别正在进行I期到I</w:t>
      </w:r>
      <w:r>
        <w:t>II</w:t>
      </w:r>
      <w:r>
        <w:rPr>
          <w:rFonts w:hint="eastAsia"/>
        </w:rPr>
        <w:t>期临床试验，2个新药在申报上市审评中。</w:t>
      </w:r>
      <w:bookmarkStart w:id="1" w:name="OLE_LINK2"/>
      <w:r>
        <w:rPr>
          <w:rFonts w:hint="eastAsia"/>
        </w:rPr>
        <w:t>同时，已布局多个</w:t>
      </w:r>
      <w:r>
        <w:t>ANDA</w:t>
      </w:r>
      <w:r>
        <w:rPr>
          <w:rFonts w:hint="eastAsia"/>
        </w:rPr>
        <w:t>高端制剂品种，其中盐酸纳美芬注射液、盐酸尼卡地平注射液已获得F</w:t>
      </w:r>
      <w:r>
        <w:t>DA</w:t>
      </w:r>
      <w:r>
        <w:rPr>
          <w:rFonts w:hint="eastAsia"/>
        </w:rPr>
        <w:t>批准上市。</w:t>
      </w:r>
      <w:bookmarkEnd w:id="1"/>
    </w:p>
    <w:p w14:paraId="2148F6C3">
      <w:pPr>
        <w:jc w:val="center"/>
      </w:pPr>
      <w:r>
        <w:drawing>
          <wp:inline distT="0" distB="0" distL="0" distR="0">
            <wp:extent cx="3893820" cy="2189480"/>
            <wp:effectExtent l="0" t="0" r="0" b="1270"/>
            <wp:docPr id="9541977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97745"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10848" cy="2199324"/>
                    </a:xfrm>
                    <a:prstGeom prst="rect">
                      <a:avLst/>
                    </a:prstGeom>
                    <a:noFill/>
                    <a:ln>
                      <a:noFill/>
                    </a:ln>
                  </pic:spPr>
                </pic:pic>
              </a:graphicData>
            </a:graphic>
          </wp:inline>
        </w:drawing>
      </w:r>
      <w:r>
        <w:drawing>
          <wp:inline distT="0" distB="0" distL="0" distR="0">
            <wp:extent cx="2785745" cy="4175760"/>
            <wp:effectExtent l="0" t="0" r="0" b="0"/>
            <wp:docPr id="19529367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677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89506" cy="4181237"/>
                    </a:xfrm>
                    <a:prstGeom prst="rect">
                      <a:avLst/>
                    </a:prstGeom>
                    <a:noFill/>
                    <a:ln>
                      <a:noFill/>
                    </a:ln>
                  </pic:spPr>
                </pic:pic>
              </a:graphicData>
            </a:graphic>
          </wp:inline>
        </w:drawing>
      </w:r>
    </w:p>
    <w:p w14:paraId="652F1574">
      <w:pPr>
        <w:ind w:firstLine="420" w:firstLineChars="200"/>
      </w:pPr>
      <w:r>
        <w:rPr>
          <w:rFonts w:hint="eastAsia"/>
        </w:rPr>
        <w:t>苑东生物建立了成熟且完善的营销体系，拥有覆盖全国的营销网络和具备专业化学术推广能力的营销团队，确保了公司销售规模持续增长。</w:t>
      </w:r>
    </w:p>
    <w:p w14:paraId="5A56F781">
      <w:pPr>
        <w:ind w:firstLine="420" w:firstLineChars="200"/>
      </w:pPr>
      <w:r>
        <w:rPr>
          <w:rFonts w:hint="eastAsia"/>
        </w:rPr>
        <w:t>苑东生物高度重视质量控制，部分原料药生产线已通过F</w:t>
      </w:r>
      <w:r>
        <w:t>DA</w:t>
      </w:r>
      <w:r>
        <w:rPr>
          <w:rFonts w:hint="eastAsia"/>
        </w:rPr>
        <w:t>现场检查、欧盟认证及美国、日本多个客户的审计。按照NMPA、EMEA、FDA等药政要求建设的国际化研发与生产基地——硕德药业，其多条生产线已获得《药品生产许可证》，其小容量注射剂生产线已通过美国F</w:t>
      </w:r>
      <w:r>
        <w:t>DA</w:t>
      </w:r>
      <w:r>
        <w:rPr>
          <w:rFonts w:hint="eastAsia"/>
        </w:rPr>
        <w:t>现场检查。</w:t>
      </w:r>
    </w:p>
    <w:p w14:paraId="601D88AD">
      <w:pPr>
        <w:jc w:val="center"/>
      </w:pPr>
      <w:r>
        <w:drawing>
          <wp:inline distT="0" distB="0" distL="0" distR="0">
            <wp:extent cx="3508375" cy="2339340"/>
            <wp:effectExtent l="0" t="0" r="0" b="3810"/>
            <wp:docPr id="11815276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2768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22608" cy="2348687"/>
                    </a:xfrm>
                    <a:prstGeom prst="rect">
                      <a:avLst/>
                    </a:prstGeom>
                    <a:noFill/>
                    <a:ln>
                      <a:noFill/>
                    </a:ln>
                  </pic:spPr>
                </pic:pic>
              </a:graphicData>
            </a:graphic>
          </wp:inline>
        </w:drawing>
      </w:r>
      <w:r>
        <w:t xml:space="preserve"> </w:t>
      </w:r>
      <w:r>
        <w:drawing>
          <wp:inline distT="0" distB="0" distL="0" distR="0">
            <wp:extent cx="3487420" cy="2324100"/>
            <wp:effectExtent l="0" t="0" r="0" b="0"/>
            <wp:docPr id="19306735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73525"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91981" cy="2327006"/>
                    </a:xfrm>
                    <a:prstGeom prst="rect">
                      <a:avLst/>
                    </a:prstGeom>
                    <a:noFill/>
                    <a:ln>
                      <a:noFill/>
                    </a:ln>
                  </pic:spPr>
                </pic:pic>
              </a:graphicData>
            </a:graphic>
          </wp:inline>
        </w:drawing>
      </w:r>
    </w:p>
    <w:p w14:paraId="5561ED13">
      <w:pPr>
        <w:ind w:firstLine="420" w:firstLineChars="200"/>
      </w:pPr>
      <w:r>
        <w:rPr>
          <w:rFonts w:hint="eastAsia"/>
        </w:rPr>
        <w:t>苑东生物曾先后获得 “国家技术创新示范企业”、“国家绿色工厂”、“国家知识产权示范企业”、“新中国成立70周年医药产业骄子企业”、“中国医药研发产品线最佳工业企业”、“中国医药工业最具成长力企业”、“四川省科技进步二等奖”等荣誉；荣登“中国医药创新企业百强”、“中国化药研发实力20强”、“中国药品研发综合实力50强”、“中国化药企业百强”、“科创板上市公司1</w:t>
      </w:r>
      <w:r>
        <w:t>00</w:t>
      </w:r>
      <w:r>
        <w:rPr>
          <w:rFonts w:hint="eastAsia"/>
        </w:rPr>
        <w:t>强”等榜单。</w:t>
      </w:r>
    </w:p>
    <w:p w14:paraId="28D0CA3F">
      <w:pPr>
        <w:ind w:firstLine="432"/>
      </w:pPr>
    </w:p>
    <w:p w14:paraId="6CEB8C48">
      <w:pPr>
        <w:ind w:firstLine="432"/>
        <w:rPr>
          <w:rFonts w:hint="eastAsia"/>
        </w:rPr>
      </w:pPr>
      <w:r>
        <w:rPr>
          <w:rFonts w:hint="eastAsia"/>
        </w:rPr>
        <w:t>苑东生物始终秉承“阳光、价值、创新、高效”的价值观，以“服务大众，成就自我，成为最受尊重和信赖的医药企业”为愿景，致力于成为全球麻醉镇痛领域领军企业。未来，公司将加快技术创新和国际化战略实施步伐，坚持以小分子创新药为重点和生物药谋发展的战略实施路径，以满足临床需求为己任，为患者提供更多、更安全、疗效更确切的高端化学药和生物药品，为人类健康沐浴阳光。</w:t>
      </w:r>
    </w:p>
    <w:p w14:paraId="76BAAB5A">
      <w:pPr>
        <w:ind w:firstLine="432"/>
        <w:rPr>
          <w:rFonts w:hint="eastAsia"/>
        </w:rPr>
      </w:pPr>
    </w:p>
    <w:p w14:paraId="0F223801">
      <w:pPr>
        <w:ind w:firstLine="432"/>
        <w:rPr>
          <w:rFonts w:hint="eastAsia"/>
        </w:rPr>
      </w:pPr>
    </w:p>
    <w:p w14:paraId="563634CA">
      <w:pPr>
        <w:ind w:firstLine="432"/>
        <w:rPr>
          <w:rFonts w:hint="eastAsia"/>
        </w:rPr>
      </w:pPr>
    </w:p>
    <w:p w14:paraId="4802C369">
      <w:pPr>
        <w:ind w:firstLine="432"/>
        <w:rPr>
          <w:rFonts w:hint="eastAsia"/>
        </w:rPr>
      </w:pPr>
    </w:p>
    <w:p w14:paraId="60399358">
      <w:pPr>
        <w:ind w:firstLine="432"/>
        <w:rPr>
          <w:rFonts w:hint="eastAsia"/>
        </w:rPr>
      </w:pPr>
    </w:p>
    <w:p w14:paraId="0344F086">
      <w:pPr>
        <w:ind w:firstLine="432"/>
        <w:rPr>
          <w:rFonts w:hint="eastAsia"/>
        </w:rPr>
      </w:pPr>
    </w:p>
    <w:p w14:paraId="718AAA97">
      <w:pPr>
        <w:ind w:firstLine="432"/>
        <w:rPr>
          <w:rFonts w:hint="eastAsia"/>
        </w:rPr>
      </w:pPr>
      <w:bookmarkStart w:id="2" w:name="_GoBack"/>
    </w:p>
    <w:bookmarkEnd w:id="2"/>
    <w:p w14:paraId="753CAF6F">
      <w:pPr>
        <w:ind w:firstLine="432"/>
        <w:rPr>
          <w:rFonts w:hint="eastAsia"/>
        </w:rPr>
      </w:pPr>
    </w:p>
    <w:p w14:paraId="5E4E71FF">
      <w:pPr>
        <w:ind w:firstLine="432"/>
        <w:rPr>
          <w:rFonts w:hint="eastAsia"/>
        </w:rPr>
      </w:pPr>
    </w:p>
    <w:p w14:paraId="23887D25">
      <w:pPr>
        <w:rPr>
          <w:rFonts w:hint="eastAsia"/>
          <w:b/>
          <w:bCs/>
          <w:lang w:val="en-US" w:eastAsia="zh-CN"/>
        </w:rPr>
      </w:pPr>
      <w:r>
        <w:rPr>
          <w:rFonts w:hint="eastAsia"/>
          <w:b/>
          <w:bCs/>
          <w:lang w:val="en-US" w:eastAsia="zh-CN"/>
        </w:rPr>
        <w:t>【麻醉镇痛领域主要产品】</w:t>
      </w:r>
    </w:p>
    <w:p w14:paraId="65D334F2">
      <w:pPr>
        <w:numPr>
          <w:ilvl w:val="0"/>
          <w:numId w:val="1"/>
        </w:numPr>
        <w:rPr>
          <w:rFonts w:hint="eastAsia"/>
          <w:lang w:val="en-US" w:eastAsia="zh-CN"/>
        </w:rPr>
      </w:pPr>
      <w:r>
        <w:rPr>
          <w:rFonts w:hint="eastAsia"/>
          <w:lang w:val="en-US" w:eastAsia="zh-CN"/>
        </w:rPr>
        <w:t>盐酸纳布啡注射液。</w:t>
      </w:r>
    </w:p>
    <w:p w14:paraId="355C45ED">
      <w:pPr>
        <w:numPr>
          <w:numId w:val="0"/>
        </w:numPr>
        <w:rPr>
          <w:rFonts w:hint="default"/>
          <w:lang w:val="en-US" w:eastAsia="zh-CN"/>
        </w:rPr>
      </w:pPr>
      <w:r>
        <w:rPr>
          <w:rFonts w:hint="eastAsia"/>
          <w:lang w:val="en-US" w:eastAsia="zh-CN"/>
        </w:rPr>
        <w:t>规格型号：1ml:10mg；1ml:20mg。</w:t>
      </w:r>
    </w:p>
    <w:p w14:paraId="1FFE5728">
      <w:pPr>
        <w:numPr>
          <w:numId w:val="0"/>
        </w:numPr>
        <w:rPr>
          <w:rFonts w:hint="eastAsia"/>
          <w:lang w:val="en-US" w:eastAsia="zh-CN"/>
        </w:rPr>
      </w:pPr>
      <w:r>
        <w:rPr>
          <w:rFonts w:hint="eastAsia"/>
          <w:lang w:val="en-US" w:eastAsia="zh-CN"/>
        </w:rPr>
        <w:t>适应症：盐酸纳布啡注射液作为镇痛药用于复合麻醉时的麻醉诱导。</w:t>
      </w:r>
    </w:p>
    <w:p w14:paraId="2FC525D3">
      <w:pPr>
        <w:numPr>
          <w:numId w:val="0"/>
        </w:numPr>
        <w:rPr>
          <w:rFonts w:hint="eastAsia"/>
          <w:lang w:val="en-US" w:eastAsia="zh-CN"/>
        </w:rPr>
      </w:pPr>
      <w:r>
        <w:rPr>
          <w:rFonts w:hint="eastAsia"/>
          <w:lang w:val="en-US" w:eastAsia="zh-CN"/>
        </w:rPr>
        <w:t>产品优势：</w:t>
      </w:r>
    </w:p>
    <w:p w14:paraId="674DA346">
      <w:pPr>
        <w:numPr>
          <w:numId w:val="0"/>
        </w:numPr>
        <w:rPr>
          <w:rFonts w:hint="default"/>
          <w:lang w:val="en-US" w:eastAsia="zh-CN"/>
        </w:rPr>
      </w:pPr>
      <w:r>
        <w:rPr>
          <w:rFonts w:hint="eastAsia"/>
          <w:lang w:val="en-US" w:eastAsia="zh-CN"/>
        </w:rPr>
        <w:t>·</w:t>
      </w:r>
      <w:r>
        <w:rPr>
          <w:rFonts w:hint="default"/>
          <w:lang w:val="en-US" w:eastAsia="zh-CN"/>
        </w:rPr>
        <w:t>阿片类受体激动-拮抗剂，对 κ 受体完全激动，对 μ 受体部分拮抗作用</w:t>
      </w:r>
      <w:r>
        <w:rPr>
          <w:rFonts w:hint="eastAsia"/>
          <w:lang w:val="en-US" w:eastAsia="zh-CN"/>
        </w:rPr>
        <w:t>。</w:t>
      </w:r>
    </w:p>
    <w:p w14:paraId="7BD41292">
      <w:pPr>
        <w:numPr>
          <w:numId w:val="0"/>
        </w:numPr>
        <w:rPr>
          <w:rFonts w:hint="default"/>
          <w:lang w:val="en-US" w:eastAsia="zh-CN"/>
        </w:rPr>
      </w:pPr>
      <w:r>
        <w:rPr>
          <w:rFonts w:hint="eastAsia"/>
          <w:lang w:val="en-US" w:eastAsia="zh-CN"/>
        </w:rPr>
        <w:t>·</w:t>
      </w:r>
      <w:r>
        <w:rPr>
          <w:rFonts w:hint="default"/>
          <w:lang w:val="en-US" w:eastAsia="zh-CN"/>
        </w:rPr>
        <w:t>镇痛效果与吗啡相当，能改善躯体疼痛，特别是内脏痛</w:t>
      </w:r>
      <w:r>
        <w:rPr>
          <w:rFonts w:hint="eastAsia"/>
          <w:lang w:val="en-US" w:eastAsia="zh-CN"/>
        </w:rPr>
        <w:t>。</w:t>
      </w:r>
    </w:p>
    <w:p w14:paraId="41825FDD">
      <w:pPr>
        <w:numPr>
          <w:numId w:val="0"/>
        </w:numPr>
        <w:rPr>
          <w:rFonts w:hint="default"/>
          <w:lang w:val="en-US" w:eastAsia="zh-CN"/>
        </w:rPr>
      </w:pPr>
      <w:r>
        <w:rPr>
          <w:rFonts w:hint="eastAsia"/>
          <w:lang w:val="en-US" w:eastAsia="zh-CN"/>
        </w:rPr>
        <w:t>·</w:t>
      </w:r>
      <w:r>
        <w:rPr>
          <w:rFonts w:hint="default"/>
          <w:lang w:val="en-US" w:eastAsia="zh-CN"/>
        </w:rPr>
        <w:t>镇痛镇静作用强，起效快、作用时间久，呼吸抑制作用轻且有封顶效应</w:t>
      </w:r>
      <w:r>
        <w:rPr>
          <w:rFonts w:hint="eastAsia"/>
          <w:lang w:val="en-US" w:eastAsia="zh-CN"/>
        </w:rPr>
        <w:t>。</w:t>
      </w:r>
    </w:p>
    <w:p w14:paraId="74CDBC1A">
      <w:pPr>
        <w:numPr>
          <w:numId w:val="0"/>
        </w:numPr>
        <w:rPr>
          <w:rFonts w:hint="default"/>
          <w:lang w:val="en-US" w:eastAsia="zh-CN"/>
        </w:rPr>
      </w:pPr>
      <w:r>
        <w:rPr>
          <w:rFonts w:hint="eastAsia"/>
          <w:lang w:val="en-US" w:eastAsia="zh-CN"/>
        </w:rPr>
        <w:t>·</w:t>
      </w:r>
      <w:r>
        <w:rPr>
          <w:rFonts w:hint="default"/>
          <w:lang w:val="en-US" w:eastAsia="zh-CN"/>
        </w:rPr>
        <w:t>安全剂量范围宽，成瘾性低，适用人群广</w:t>
      </w:r>
      <w:r>
        <w:rPr>
          <w:rFonts w:hint="eastAsia"/>
          <w:lang w:val="en-US" w:eastAsia="zh-CN"/>
        </w:rPr>
        <w:t>。</w:t>
      </w:r>
    </w:p>
    <w:p w14:paraId="3B864915">
      <w:r>
        <w:drawing>
          <wp:anchor distT="0" distB="0" distL="0" distR="0" simplePos="0" relativeHeight="251660288" behindDoc="1" locked="0" layoutInCell="1" allowOverlap="1">
            <wp:simplePos x="0" y="0"/>
            <wp:positionH relativeFrom="column">
              <wp:posOffset>0</wp:posOffset>
            </wp:positionH>
            <wp:positionV relativeFrom="paragraph">
              <wp:posOffset>70485</wp:posOffset>
            </wp:positionV>
            <wp:extent cx="5274310" cy="3623310"/>
            <wp:effectExtent l="0" t="0" r="2540" b="0"/>
            <wp:wrapTight wrapText="bothSides">
              <wp:wrapPolygon>
                <wp:start x="0" y="0"/>
                <wp:lineTo x="0" y="21502"/>
                <wp:lineTo x="21532" y="21502"/>
                <wp:lineTo x="21532" y="0"/>
                <wp:lineTo x="0" y="0"/>
              </wp:wrapPolygon>
            </wp:wrapTight>
            <wp:docPr id="386332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2167"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623310"/>
                    </a:xfrm>
                    <a:prstGeom prst="rect">
                      <a:avLst/>
                    </a:prstGeom>
                    <a:noFill/>
                    <a:ln>
                      <a:noFill/>
                    </a:ln>
                  </pic:spPr>
                </pic:pic>
              </a:graphicData>
            </a:graphic>
          </wp:anchor>
        </w:drawing>
      </w:r>
    </w:p>
    <w:p w14:paraId="676FBAE5">
      <w:pPr>
        <w:numPr>
          <w:ilvl w:val="0"/>
          <w:numId w:val="1"/>
        </w:numPr>
        <w:bidi w:val="0"/>
        <w:ind w:left="0" w:leftChars="0" w:firstLine="0" w:firstLineChars="0"/>
        <w:jc w:val="left"/>
      </w:pPr>
      <w:r>
        <w:rPr>
          <w:rFonts w:hint="eastAsia"/>
          <w:lang w:eastAsia="zh-CN"/>
        </w:rPr>
        <w:t>酒石酸布托啡诺注射液。</w:t>
      </w:r>
    </w:p>
    <w:p w14:paraId="79ED251C">
      <w:pPr>
        <w:numPr>
          <w:numId w:val="0"/>
        </w:numPr>
        <w:bidi w:val="0"/>
        <w:ind w:leftChars="0"/>
        <w:jc w:val="left"/>
        <w:rPr>
          <w:rFonts w:hint="default"/>
          <w:lang w:val="en-US"/>
        </w:rPr>
      </w:pPr>
      <w:r>
        <w:rPr>
          <w:rFonts w:hint="eastAsia"/>
          <w:lang w:val="en-US" w:eastAsia="zh-CN"/>
        </w:rPr>
        <w:t>规格型号：1ml:1mg；2ml:4mg。</w:t>
      </w:r>
    </w:p>
    <w:p w14:paraId="3D5C08D2">
      <w:pPr>
        <w:numPr>
          <w:numId w:val="0"/>
        </w:numPr>
        <w:bidi w:val="0"/>
        <w:ind w:leftChars="0"/>
        <w:jc w:val="left"/>
        <w:rPr>
          <w:rFonts w:hint="eastAsia"/>
          <w:lang w:val="en-US" w:eastAsia="zh-CN"/>
        </w:rPr>
      </w:pPr>
      <w:r>
        <w:rPr>
          <w:rFonts w:hint="eastAsia"/>
          <w:lang w:val="en-US" w:eastAsia="zh-CN"/>
        </w:rPr>
        <w:t>适应症：用于治疗各种癌性疼痛、手术后疼痛。</w:t>
      </w:r>
    </w:p>
    <w:p w14:paraId="5F6A18E0">
      <w:pPr>
        <w:numPr>
          <w:numId w:val="0"/>
        </w:numPr>
        <w:bidi w:val="0"/>
        <w:ind w:leftChars="0"/>
        <w:jc w:val="left"/>
        <w:rPr>
          <w:rFonts w:hint="eastAsia"/>
          <w:lang w:val="en-US" w:eastAsia="zh-CN"/>
        </w:rPr>
      </w:pPr>
      <w:r>
        <w:rPr>
          <w:rFonts w:hint="eastAsia"/>
          <w:lang w:val="en-US" w:eastAsia="zh-CN"/>
        </w:rPr>
        <w:t>产品优势：</w:t>
      </w:r>
    </w:p>
    <w:p w14:paraId="633472B3">
      <w:pPr>
        <w:numPr>
          <w:numId w:val="0"/>
        </w:numPr>
        <w:bidi w:val="0"/>
        <w:ind w:leftChars="0"/>
        <w:jc w:val="left"/>
        <w:rPr>
          <w:rFonts w:hint="eastAsia"/>
          <w:lang w:val="en-US" w:eastAsia="zh-CN"/>
        </w:rPr>
      </w:pPr>
      <w:r>
        <w:rPr>
          <w:rFonts w:hint="eastAsia"/>
          <w:lang w:val="en-US" w:eastAsia="zh-CN"/>
        </w:rPr>
        <w:t>·阿片受体混合激动-拮抗剂，具有强κ-受体激动剂和弱μ-受体激动剂/拮抗剂活性。</w:t>
      </w:r>
    </w:p>
    <w:p w14:paraId="73921B31">
      <w:pPr>
        <w:numPr>
          <w:numId w:val="0"/>
        </w:numPr>
        <w:bidi w:val="0"/>
        <w:ind w:leftChars="0"/>
        <w:jc w:val="left"/>
        <w:rPr>
          <w:rFonts w:hint="eastAsia"/>
          <w:lang w:val="en-US" w:eastAsia="zh-CN"/>
        </w:rPr>
      </w:pPr>
      <w:r>
        <w:rPr>
          <w:rFonts w:hint="eastAsia"/>
          <w:lang w:val="en-US" w:eastAsia="zh-CN"/>
        </w:rPr>
        <w:t>·通过激动κ阿片受体产生镇痛作用，同时可以减轻μ受体激动剂所致的呼吸抑制、胃肠道抑制、免疫抑制、瘙痒和成瘾等不良反应。</w:t>
      </w:r>
    </w:p>
    <w:p w14:paraId="1DDE43C3">
      <w:pPr>
        <w:numPr>
          <w:numId w:val="0"/>
        </w:numPr>
        <w:bidi w:val="0"/>
        <w:ind w:leftChars="0"/>
        <w:jc w:val="left"/>
        <w:rPr>
          <w:rFonts w:hint="eastAsia"/>
          <w:lang w:val="en-US" w:eastAsia="zh-CN"/>
        </w:rPr>
      </w:pPr>
      <w:r>
        <w:rPr>
          <w:rFonts w:hint="eastAsia"/>
          <w:lang w:val="en-US" w:eastAsia="zh-CN"/>
        </w:rPr>
        <w:t>·高效镇痛、辅助镇静，对内脏痛具有独特优势。</w:t>
      </w:r>
    </w:p>
    <w:p w14:paraId="26F0F096">
      <w:pPr>
        <w:numPr>
          <w:numId w:val="0"/>
        </w:numPr>
        <w:bidi w:val="0"/>
        <w:ind w:leftChars="0"/>
        <w:jc w:val="left"/>
        <w:rPr>
          <w:rFonts w:hint="eastAsia"/>
          <w:lang w:val="en-US" w:eastAsia="zh-CN"/>
        </w:rPr>
      </w:pPr>
      <w:r>
        <w:rPr>
          <w:rFonts w:hint="eastAsia"/>
          <w:lang w:val="en-US" w:eastAsia="zh-CN"/>
        </w:rPr>
        <w:t>·呼吸抑制轻微且有封顶效应，适用于有呼吸系统疾病或机械通气患者的镇痛治疗，安全性更高。</w:t>
      </w:r>
    </w:p>
    <w:p w14:paraId="675BACCF">
      <w:pPr>
        <w:numPr>
          <w:numId w:val="0"/>
        </w:numPr>
        <w:bidi w:val="0"/>
        <w:ind w:leftChars="0"/>
        <w:jc w:val="left"/>
        <w:rPr>
          <w:rFonts w:hint="eastAsia"/>
          <w:lang w:val="en-US" w:eastAsia="zh-CN"/>
        </w:rPr>
      </w:pPr>
      <w:r>
        <w:rPr>
          <w:rFonts w:hint="eastAsia"/>
          <w:lang w:val="en-US" w:eastAsia="zh-CN"/>
        </w:rPr>
        <w:t>·阿片受体激动-拮抗剂中唯一用于术后镇痛的医保药品。</w:t>
      </w:r>
    </w:p>
    <w:p w14:paraId="34CA1017">
      <w:pPr>
        <w:numPr>
          <w:numId w:val="0"/>
        </w:numPr>
        <w:bidi w:val="0"/>
        <w:ind w:leftChars="0"/>
        <w:jc w:val="left"/>
        <w:rPr>
          <w:rFonts w:hint="eastAsia"/>
          <w:lang w:val="en-US" w:eastAsia="zh-CN"/>
        </w:rPr>
      </w:pPr>
      <w:r>
        <w:drawing>
          <wp:anchor distT="0" distB="0" distL="0" distR="0" simplePos="0" relativeHeight="251659264" behindDoc="1" locked="0" layoutInCell="1" allowOverlap="1">
            <wp:simplePos x="0" y="0"/>
            <wp:positionH relativeFrom="column">
              <wp:posOffset>63500</wp:posOffset>
            </wp:positionH>
            <wp:positionV relativeFrom="paragraph">
              <wp:posOffset>207010</wp:posOffset>
            </wp:positionV>
            <wp:extent cx="5274310" cy="3631565"/>
            <wp:effectExtent l="0" t="0" r="2540" b="6985"/>
            <wp:wrapTight wrapText="bothSides">
              <wp:wrapPolygon>
                <wp:start x="0" y="0"/>
                <wp:lineTo x="0" y="21528"/>
                <wp:lineTo x="21532" y="21528"/>
                <wp:lineTo x="21532" y="0"/>
                <wp:lineTo x="0" y="0"/>
              </wp:wrapPolygon>
            </wp:wrapTight>
            <wp:docPr id="138165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658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631565"/>
                    </a:xfrm>
                    <a:prstGeom prst="rect">
                      <a:avLst/>
                    </a:prstGeom>
                    <a:noFill/>
                    <a:ln>
                      <a:noFill/>
                    </a:ln>
                  </pic:spPr>
                </pic:pic>
              </a:graphicData>
            </a:graphic>
          </wp:anchor>
        </w:drawing>
      </w:r>
    </w:p>
    <w:p w14:paraId="67E26C9A">
      <w:pPr>
        <w:numPr>
          <w:ilvl w:val="0"/>
          <w:numId w:val="1"/>
        </w:numPr>
        <w:bidi w:val="0"/>
        <w:ind w:left="0" w:leftChars="0" w:firstLine="0" w:firstLineChars="0"/>
        <w:jc w:val="left"/>
        <w:rPr>
          <w:rFonts w:hint="eastAsia"/>
          <w:lang w:val="en-US" w:eastAsia="zh-CN"/>
        </w:rPr>
      </w:pPr>
      <w:r>
        <w:rPr>
          <w:rFonts w:hint="eastAsia"/>
          <w:lang w:val="en-US" w:eastAsia="zh-CN"/>
        </w:rPr>
        <w:t>盐酸去氧肾上腺素注射液。</w:t>
      </w:r>
    </w:p>
    <w:p w14:paraId="60AECFE3">
      <w:pPr>
        <w:numPr>
          <w:numId w:val="0"/>
        </w:numPr>
        <w:bidi w:val="0"/>
        <w:ind w:leftChars="0"/>
        <w:jc w:val="left"/>
        <w:rPr>
          <w:rFonts w:hint="default"/>
          <w:lang w:val="en-US" w:eastAsia="zh-CN"/>
        </w:rPr>
      </w:pPr>
      <w:r>
        <w:rPr>
          <w:rFonts w:hint="eastAsia"/>
          <w:lang w:val="en-US" w:eastAsia="zh-CN"/>
        </w:rPr>
        <w:t>型号规格：5ml:0.5mg。</w:t>
      </w:r>
    </w:p>
    <w:p w14:paraId="11140C8C">
      <w:pPr>
        <w:numPr>
          <w:numId w:val="0"/>
        </w:numPr>
        <w:bidi w:val="0"/>
        <w:ind w:leftChars="0"/>
        <w:jc w:val="left"/>
        <w:rPr>
          <w:rFonts w:hint="eastAsia"/>
          <w:lang w:val="en-US" w:eastAsia="zh-CN"/>
        </w:rPr>
      </w:pPr>
      <w:r>
        <w:rPr>
          <w:rFonts w:hint="eastAsia"/>
          <w:lang w:val="en-US" w:eastAsia="zh-CN"/>
        </w:rPr>
        <w:t>适应症：治疗麻醉时血管扩张引起的临床低血压。</w:t>
      </w:r>
    </w:p>
    <w:p w14:paraId="35B953EF">
      <w:pPr>
        <w:numPr>
          <w:numId w:val="0"/>
        </w:numPr>
        <w:bidi w:val="0"/>
        <w:ind w:leftChars="0"/>
        <w:jc w:val="left"/>
        <w:rPr>
          <w:rFonts w:hint="default"/>
          <w:lang w:val="en-US" w:eastAsia="zh-CN"/>
        </w:rPr>
      </w:pPr>
      <w:r>
        <w:rPr>
          <w:rFonts w:hint="eastAsia"/>
          <w:lang w:val="en-US" w:eastAsia="zh-CN"/>
        </w:rPr>
        <w:t>产品优势：</w:t>
      </w:r>
    </w:p>
    <w:p w14:paraId="6A271EBB">
      <w:pPr>
        <w:numPr>
          <w:numId w:val="0"/>
        </w:numPr>
        <w:bidi w:val="0"/>
        <w:ind w:leftChars="0"/>
        <w:jc w:val="left"/>
        <w:rPr>
          <w:rFonts w:hint="default"/>
          <w:lang w:val="en-US" w:eastAsia="zh-CN"/>
        </w:rPr>
      </w:pPr>
      <w:r>
        <w:rPr>
          <w:rFonts w:hint="eastAsia"/>
          <w:lang w:val="en-US" w:eastAsia="zh-CN"/>
        </w:rPr>
        <w:t>·</w:t>
      </w:r>
      <w:r>
        <w:rPr>
          <w:rFonts w:hint="default"/>
          <w:lang w:val="en-US" w:eastAsia="zh-CN"/>
        </w:rPr>
        <w:t>去氧肾上腺素是诸多国内外权威指南推荐用药</w:t>
      </w:r>
      <w:r>
        <w:rPr>
          <w:rFonts w:hint="eastAsia"/>
          <w:lang w:val="en-US" w:eastAsia="zh-CN"/>
        </w:rPr>
        <w:t>。</w:t>
      </w:r>
    </w:p>
    <w:p w14:paraId="13AD698C">
      <w:pPr>
        <w:numPr>
          <w:numId w:val="0"/>
        </w:numPr>
        <w:bidi w:val="0"/>
        <w:ind w:leftChars="0"/>
        <w:jc w:val="left"/>
        <w:rPr>
          <w:rFonts w:hint="default"/>
          <w:lang w:val="en-US" w:eastAsia="zh-CN"/>
        </w:rPr>
      </w:pPr>
      <w:r>
        <w:rPr>
          <w:rFonts w:hint="eastAsia"/>
          <w:lang w:val="en-US" w:eastAsia="zh-CN"/>
        </w:rPr>
        <w:t>·</w:t>
      </w:r>
      <w:r>
        <w:rPr>
          <w:rFonts w:hint="default"/>
          <w:lang w:val="en-US" w:eastAsia="zh-CN"/>
        </w:rPr>
        <w:t>去氧肾上腺素是全球医生最具有临床经验的血管收缩药</w:t>
      </w:r>
      <w:r>
        <w:rPr>
          <w:rFonts w:hint="eastAsia"/>
          <w:lang w:val="en-US" w:eastAsia="zh-CN"/>
        </w:rPr>
        <w:t>。</w:t>
      </w:r>
    </w:p>
    <w:p w14:paraId="7E8FC4AD">
      <w:pPr>
        <w:numPr>
          <w:numId w:val="0"/>
        </w:numPr>
        <w:bidi w:val="0"/>
        <w:ind w:leftChars="0"/>
        <w:jc w:val="left"/>
        <w:rPr>
          <w:rFonts w:hint="default"/>
          <w:lang w:val="en-US" w:eastAsia="zh-CN"/>
        </w:rPr>
      </w:pPr>
      <w:r>
        <w:rPr>
          <w:rFonts w:hint="eastAsia"/>
          <w:lang w:val="en-US" w:eastAsia="zh-CN"/>
        </w:rPr>
        <w:t>·</w:t>
      </w:r>
      <w:r>
        <w:rPr>
          <w:rFonts w:hint="default"/>
          <w:lang w:val="en-US" w:eastAsia="zh-CN"/>
        </w:rPr>
        <w:t>去氧肾上腺素是单纯α1受体直接激动剂，临床使用更安全</w:t>
      </w:r>
      <w:r>
        <w:rPr>
          <w:rFonts w:hint="eastAsia"/>
          <w:lang w:val="en-US" w:eastAsia="zh-CN"/>
        </w:rPr>
        <w:t>。</w:t>
      </w:r>
    </w:p>
    <w:p w14:paraId="337F2EB2">
      <w:pPr>
        <w:numPr>
          <w:numId w:val="0"/>
        </w:numPr>
        <w:bidi w:val="0"/>
        <w:ind w:leftChars="0"/>
        <w:jc w:val="left"/>
        <w:rPr>
          <w:rFonts w:hint="default"/>
          <w:lang w:val="en-US" w:eastAsia="zh-CN"/>
        </w:rPr>
      </w:pPr>
      <w:r>
        <w:drawing>
          <wp:anchor distT="0" distB="0" distL="0" distR="0" simplePos="0" relativeHeight="251661312" behindDoc="1" locked="0" layoutInCell="1" allowOverlap="1">
            <wp:simplePos x="0" y="0"/>
            <wp:positionH relativeFrom="column">
              <wp:posOffset>0</wp:posOffset>
            </wp:positionH>
            <wp:positionV relativeFrom="paragraph">
              <wp:posOffset>190500</wp:posOffset>
            </wp:positionV>
            <wp:extent cx="5281930" cy="3200400"/>
            <wp:effectExtent l="0" t="0" r="0" b="0"/>
            <wp:wrapTight wrapText="bothSides">
              <wp:wrapPolygon>
                <wp:start x="0" y="0"/>
                <wp:lineTo x="0" y="21514"/>
                <wp:lineTo x="21553" y="21514"/>
                <wp:lineTo x="21553" y="0"/>
                <wp:lineTo x="0" y="0"/>
              </wp:wrapPolygon>
            </wp:wrapTight>
            <wp:docPr id="18462095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9535"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17048" t="18212" r="14038" b="26389"/>
                    <a:stretch>
                      <a:fillRect/>
                    </a:stretch>
                  </pic:blipFill>
                  <pic:spPr>
                    <a:xfrm>
                      <a:off x="0" y="0"/>
                      <a:ext cx="5288882" cy="3204376"/>
                    </a:xfrm>
                    <a:prstGeom prst="rect">
                      <a:avLst/>
                    </a:prstGeom>
                    <a:noFill/>
                    <a:ln>
                      <a:noFill/>
                    </a:ln>
                  </pic:spPr>
                </pic:pic>
              </a:graphicData>
            </a:graphic>
          </wp:anchor>
        </w:drawing>
      </w:r>
      <w:r>
        <w:rPr>
          <w:rFonts w:hint="eastAsia"/>
          <w:lang w:val="en-US" w:eastAsia="zh-CN"/>
        </w:rPr>
        <w:t>·</w:t>
      </w:r>
      <w:r>
        <w:rPr>
          <w:rFonts w:hint="default"/>
          <w:lang w:val="en-US" w:eastAsia="zh-CN"/>
        </w:rPr>
        <w:t>芬可达®</w:t>
      </w:r>
      <w:r>
        <w:rPr>
          <w:rFonts w:hint="eastAsia"/>
          <w:lang w:val="en-US" w:eastAsia="zh-CN"/>
        </w:rPr>
        <w:t>是</w:t>
      </w:r>
      <w:r>
        <w:rPr>
          <w:rFonts w:hint="default"/>
          <w:lang w:val="en-US" w:eastAsia="zh-CN"/>
        </w:rPr>
        <w:t>唯一过评，无需稀释</w:t>
      </w:r>
      <w:r>
        <w:rPr>
          <w:rFonts w:hint="eastAsia"/>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EB018F"/>
    <w:multiLevelType w:val="singleLevel"/>
    <w:tmpl w:val="06EB018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57B"/>
    <w:rsid w:val="00011357"/>
    <w:rsid w:val="0001661A"/>
    <w:rsid w:val="0002177C"/>
    <w:rsid w:val="00032180"/>
    <w:rsid w:val="000465BE"/>
    <w:rsid w:val="00054423"/>
    <w:rsid w:val="00065F9D"/>
    <w:rsid w:val="00074399"/>
    <w:rsid w:val="00083E5D"/>
    <w:rsid w:val="000D0AA4"/>
    <w:rsid w:val="00104F13"/>
    <w:rsid w:val="00124AC8"/>
    <w:rsid w:val="00147A63"/>
    <w:rsid w:val="00177C02"/>
    <w:rsid w:val="001812B5"/>
    <w:rsid w:val="00186F43"/>
    <w:rsid w:val="00196B2A"/>
    <w:rsid w:val="001B3079"/>
    <w:rsid w:val="001B6837"/>
    <w:rsid w:val="001D48F9"/>
    <w:rsid w:val="001D51A4"/>
    <w:rsid w:val="001E608C"/>
    <w:rsid w:val="001F1109"/>
    <w:rsid w:val="001F6AF0"/>
    <w:rsid w:val="00217EAF"/>
    <w:rsid w:val="0024004F"/>
    <w:rsid w:val="00243DFA"/>
    <w:rsid w:val="00250C84"/>
    <w:rsid w:val="0026381C"/>
    <w:rsid w:val="00267D6D"/>
    <w:rsid w:val="0027262D"/>
    <w:rsid w:val="002C2B3B"/>
    <w:rsid w:val="002E40D4"/>
    <w:rsid w:val="002E5490"/>
    <w:rsid w:val="003035A9"/>
    <w:rsid w:val="00304007"/>
    <w:rsid w:val="0030771E"/>
    <w:rsid w:val="00322E3D"/>
    <w:rsid w:val="00327B09"/>
    <w:rsid w:val="003623D9"/>
    <w:rsid w:val="00375DCC"/>
    <w:rsid w:val="00386C0A"/>
    <w:rsid w:val="00387A45"/>
    <w:rsid w:val="003A346A"/>
    <w:rsid w:val="003B0825"/>
    <w:rsid w:val="003B0A64"/>
    <w:rsid w:val="003B0D5B"/>
    <w:rsid w:val="003B1350"/>
    <w:rsid w:val="00415B71"/>
    <w:rsid w:val="004253BC"/>
    <w:rsid w:val="004641E6"/>
    <w:rsid w:val="004646BD"/>
    <w:rsid w:val="00464E45"/>
    <w:rsid w:val="00464E6B"/>
    <w:rsid w:val="00491B75"/>
    <w:rsid w:val="004A1921"/>
    <w:rsid w:val="004A2C90"/>
    <w:rsid w:val="004A5406"/>
    <w:rsid w:val="004C73DA"/>
    <w:rsid w:val="004D60BC"/>
    <w:rsid w:val="004E26B8"/>
    <w:rsid w:val="004E39A7"/>
    <w:rsid w:val="00524CC6"/>
    <w:rsid w:val="00534D09"/>
    <w:rsid w:val="00554A09"/>
    <w:rsid w:val="0058262C"/>
    <w:rsid w:val="005A05B4"/>
    <w:rsid w:val="005C55D7"/>
    <w:rsid w:val="005D14F9"/>
    <w:rsid w:val="005D780C"/>
    <w:rsid w:val="00621DC7"/>
    <w:rsid w:val="00631B9A"/>
    <w:rsid w:val="006324C2"/>
    <w:rsid w:val="00646300"/>
    <w:rsid w:val="00656F79"/>
    <w:rsid w:val="00665DB8"/>
    <w:rsid w:val="006B659E"/>
    <w:rsid w:val="006E0BA3"/>
    <w:rsid w:val="006E485D"/>
    <w:rsid w:val="007606C6"/>
    <w:rsid w:val="00762FE8"/>
    <w:rsid w:val="00783A65"/>
    <w:rsid w:val="0079717A"/>
    <w:rsid w:val="007C3EE2"/>
    <w:rsid w:val="007D4528"/>
    <w:rsid w:val="007E18AB"/>
    <w:rsid w:val="007E5BE8"/>
    <w:rsid w:val="007F7BC7"/>
    <w:rsid w:val="00815127"/>
    <w:rsid w:val="008445B6"/>
    <w:rsid w:val="008B0AAA"/>
    <w:rsid w:val="008F4F0B"/>
    <w:rsid w:val="00953B5F"/>
    <w:rsid w:val="00984EA9"/>
    <w:rsid w:val="00991A78"/>
    <w:rsid w:val="009B6296"/>
    <w:rsid w:val="009C71D0"/>
    <w:rsid w:val="009E0662"/>
    <w:rsid w:val="00A15463"/>
    <w:rsid w:val="00A17EA7"/>
    <w:rsid w:val="00A24E2F"/>
    <w:rsid w:val="00AA6AED"/>
    <w:rsid w:val="00AB7D67"/>
    <w:rsid w:val="00AC4D51"/>
    <w:rsid w:val="00AF6B35"/>
    <w:rsid w:val="00B07EA6"/>
    <w:rsid w:val="00B66293"/>
    <w:rsid w:val="00B75EE4"/>
    <w:rsid w:val="00BB63C6"/>
    <w:rsid w:val="00BC1C42"/>
    <w:rsid w:val="00C1557B"/>
    <w:rsid w:val="00C36640"/>
    <w:rsid w:val="00CC6912"/>
    <w:rsid w:val="00D033B1"/>
    <w:rsid w:val="00D206DD"/>
    <w:rsid w:val="00D477CE"/>
    <w:rsid w:val="00D968F0"/>
    <w:rsid w:val="00DA2D1A"/>
    <w:rsid w:val="00DB0FF5"/>
    <w:rsid w:val="00DB68B0"/>
    <w:rsid w:val="00DB7897"/>
    <w:rsid w:val="00DE26F9"/>
    <w:rsid w:val="00E65124"/>
    <w:rsid w:val="00E812A5"/>
    <w:rsid w:val="00EA33D5"/>
    <w:rsid w:val="00EA5C93"/>
    <w:rsid w:val="00EA6737"/>
    <w:rsid w:val="00ED19FD"/>
    <w:rsid w:val="00F0152B"/>
    <w:rsid w:val="00F5613F"/>
    <w:rsid w:val="00F61D31"/>
    <w:rsid w:val="00F80D3B"/>
    <w:rsid w:val="00F812BD"/>
    <w:rsid w:val="00F93303"/>
    <w:rsid w:val="00F97BB2"/>
    <w:rsid w:val="00FF5018"/>
    <w:rsid w:val="1F9509AF"/>
    <w:rsid w:val="58FF4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99"/>
    <w:rPr>
      <w:sz w:val="18"/>
      <w:szCs w:val="18"/>
    </w:rPr>
  </w:style>
  <w:style w:type="character" w:customStyle="1" w:styleId="10">
    <w:name w:val="fontstyle01"/>
    <w:basedOn w:val="6"/>
    <w:qFormat/>
    <w:uiPriority w:val="0"/>
    <w:rPr>
      <w:rFonts w:hint="default" w:ascii="Times New Roman" w:hAnsi="Times New Roman" w:cs="Times New Roman"/>
      <w:color w:val="000000"/>
      <w:sz w:val="22"/>
      <w:szCs w:val="22"/>
    </w:rPr>
  </w:style>
  <w:style w:type="character" w:customStyle="1" w:styleId="11">
    <w:name w:val="fontstyle21"/>
    <w:basedOn w:val="6"/>
    <w:qFormat/>
    <w:uiPriority w:val="0"/>
    <w:rPr>
      <w:rFonts w:hint="eastAsia" w:ascii="宋体" w:hAnsi="宋体" w:eastAsia="宋体"/>
      <w:color w:val="000000"/>
      <w:sz w:val="22"/>
      <w:szCs w:val="22"/>
    </w:rPr>
  </w:style>
  <w:style w:type="paragraph" w:customStyle="1" w:styleId="12">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B67B7-4132-4675-9687-D085A1432300}">
  <ds:schemaRefs/>
</ds:datastoreItem>
</file>

<file path=docProps/app.xml><?xml version="1.0" encoding="utf-8"?>
<Properties xmlns="http://schemas.openxmlformats.org/officeDocument/2006/extended-properties" xmlns:vt="http://schemas.openxmlformats.org/officeDocument/2006/docPropsVTypes">
  <Template>Normal.dotm</Template>
  <Company>Timesnet</Company>
  <Pages>5</Pages>
  <Words>1373</Words>
  <Characters>1429</Characters>
  <Lines>10</Lines>
  <Paragraphs>2</Paragraphs>
  <TotalTime>3362</TotalTime>
  <ScaleCrop>false</ScaleCrop>
  <LinksUpToDate>false</LinksUpToDate>
  <CharactersWithSpaces>1433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2020-09-10T08:34:00Z</dcterms:created>
  <dc:creator>梅凌</dc:creator>
  <cp:lastModifiedBy>彳之亍</cp:lastModifiedBy>
  <dcterms:modified xsi:type="dcterms:W3CDTF">2024-12-05T09:17:03Z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0185F24857134681838F84EA7E6AB451_12</vt:lpwstr>
  </property>
</Properties>
</file>