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8B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3" w:afterAutospacing="0" w:line="240" w:lineRule="atLeast"/>
        <w:ind w:right="0" w:firstLine="600" w:firstLineChars="200"/>
        <w:jc w:val="left"/>
        <w:rPr>
          <w:rFonts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bdr w:val="none" w:color="auto" w:sz="0" w:space="0"/>
        </w:rPr>
        <w:t>丽珠医药集团股份有限公司创建于1985年1月，是集医药产品研发、生产、销售为一体的综合医药集团公司，A+H股上市公司。2023年度，公司营业收入124.3亿元，净利润19.54亿元，研发投入12.35亿元，占营业收入的9.94%。</w:t>
      </w:r>
    </w:p>
    <w:p w14:paraId="1F871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3" w:afterAutospacing="0" w:line="240" w:lineRule="atLeast"/>
        <w:ind w:right="0" w:firstLine="600" w:firstLineChars="200"/>
        <w:jc w:val="left"/>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bdr w:val="none" w:color="auto" w:sz="0" w:space="0"/>
        </w:rPr>
        <w:t>公司视研发创新为可持续发展的基石，持续关注全球新药研发领域新分子和前沿技术，基于临床价值、差异化前瞻布局创新药及高壁垒复杂制剂，聚焦消化道、辅助生殖、精神、肿瘤免疫等领域，形成了完善的产品集群以及覆盖研发全周期的差异化产品管线。</w:t>
      </w:r>
    </w:p>
    <w:p w14:paraId="3DEFD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3" w:afterAutospacing="0" w:line="240" w:lineRule="atLeast"/>
        <w:ind w:right="0" w:firstLine="600" w:firstLineChars="200"/>
        <w:jc w:val="left"/>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rPr>
        <w:t>化学药领域：</w:t>
      </w:r>
      <w:r>
        <w:rPr>
          <w:rFonts w:hint="eastAsia" w:ascii="微软雅黑" w:hAnsi="微软雅黑" w:eastAsia="微软雅黑" w:cs="微软雅黑"/>
          <w:i w:val="0"/>
          <w:iCs w:val="0"/>
          <w:caps w:val="0"/>
          <w:color w:val="333333"/>
          <w:spacing w:val="0"/>
          <w:sz w:val="30"/>
          <w:szCs w:val="30"/>
        </w:rPr>
        <w:t>创新药+高壁垒复杂制剂驱动发展。消化道领域重磅产品突出，继丽珠得乐后，自主研发出PPI中国产创新药艾普拉唑系列产品，具有剂量小、维持时间点，临床应用超10年，市场覆盖广且有良好的口碑。消化道另外一个重磅产品P-CAB创新药即将申报临床。同时作为国内微球制剂头部企业，丽珠已掌握了较高技术壁垒的微球制剂生产工艺，并建成长效微球技术国家地方联合工程研究中心，所开发的注射用醋酸亮丙瑞林微球是最早实现微球国产化的产品之一，打破了国外长期垄断的局面。注射用醋酸曲普瑞林微球于2023年5月获批上市，注射用阿立哌唑微球已顺利报产，还有多项微球、植入剂、透皮贴剂、口溶膜和口服缓控释等高端复杂制剂产品分布在研发的各个阶段。</w:t>
      </w:r>
    </w:p>
    <w:p w14:paraId="31202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3" w:afterAutospacing="0" w:line="240" w:lineRule="atLeast"/>
        <w:ind w:right="0" w:firstLine="600" w:firstLineChars="200"/>
        <w:jc w:val="left"/>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rPr>
        <w:t>生物药领域：</w:t>
      </w:r>
      <w:r>
        <w:rPr>
          <w:rFonts w:hint="eastAsia" w:ascii="微软雅黑" w:hAnsi="微软雅黑" w:eastAsia="微软雅黑" w:cs="微软雅黑"/>
          <w:i w:val="0"/>
          <w:iCs w:val="0"/>
          <w:caps w:val="0"/>
          <w:color w:val="333333"/>
          <w:spacing w:val="0"/>
          <w:sz w:val="30"/>
          <w:szCs w:val="30"/>
        </w:rPr>
        <w:t>围绕自身免疫疾病、肿瘤及辅助生殖等领域，聚焦新分子、新靶点及差异化的分子设计，已建成广东省抗体药物产业化典型示范基地，建成从抗体筛选与评价、细胞株筛选、规模化细胞培养、纯化、制剂、分析检测和质量控制一体化的技术平台。生物类似药注射用重组人绒促性素和托珠单抗注射液分别于2021年4月和2023年1月在国内获批上市，创新药重组新型冠状病毒融合蛋白疫苗（CHO细胞）于2022年6月获批国家紧急使用。重组人促卵泡激素注射液及重组抗人IL-17A/F人源化单克隆抗体注射液均正在开展III期临床试验，另有多个研发项目处在临床研究的不同阶段。</w:t>
      </w:r>
    </w:p>
    <w:p w14:paraId="28310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3" w:afterAutospacing="0" w:line="240" w:lineRule="atLeast"/>
        <w:ind w:right="0" w:firstLine="600" w:firstLineChars="200"/>
        <w:jc w:val="left"/>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rPr>
        <w:t>原料药领域：</w:t>
      </w:r>
      <w:r>
        <w:rPr>
          <w:rFonts w:hint="eastAsia" w:ascii="微软雅黑" w:hAnsi="微软雅黑" w:eastAsia="微软雅黑" w:cs="微软雅黑"/>
          <w:i w:val="0"/>
          <w:iCs w:val="0"/>
          <w:caps w:val="0"/>
          <w:color w:val="333333"/>
          <w:spacing w:val="0"/>
          <w:sz w:val="30"/>
          <w:szCs w:val="30"/>
        </w:rPr>
        <w:t>聚焦高端特色原料药，产品在规模、质量等方面具有显著竞争优势，多个原料药及中间体产品在全球市场占有率；积极推进海外认证工作及国际市场开拓布局，加速国际化进程，日益成为全球医药界头部企业如辉瑞、梯瓦等企业的长期战略合作伙伴。</w:t>
      </w:r>
    </w:p>
    <w:p w14:paraId="47F30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3" w:afterAutospacing="0" w:line="240" w:lineRule="atLeast"/>
        <w:ind w:right="0" w:firstLine="600" w:firstLineChars="200"/>
        <w:jc w:val="left"/>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rPr>
        <w:t>中药领域：</w:t>
      </w:r>
      <w:r>
        <w:rPr>
          <w:rFonts w:hint="eastAsia" w:ascii="微软雅黑" w:hAnsi="微软雅黑" w:eastAsia="微软雅黑" w:cs="微软雅黑"/>
          <w:i w:val="0"/>
          <w:iCs w:val="0"/>
          <w:caps w:val="0"/>
          <w:color w:val="333333"/>
          <w:spacing w:val="0"/>
          <w:sz w:val="30"/>
          <w:szCs w:val="30"/>
        </w:rPr>
        <w:t>目前已搭建国家中药现代化工程技术研究中心和4个省级研发中心，并在山西浑源、甘肃陇西等地建设大规模中药材GAP种植基地，从研发、种植、生产、销售多维度进行中药全产业链布局。现有品种21个，其中旗舰产品参芪扶正注射液和抗病毒颗粒增长强劲，另有荆肤止痒、八正胶囊、小儿肺热等独家产品覆盖各中医治疗优势领域。</w:t>
      </w:r>
    </w:p>
    <w:p w14:paraId="3FBB7F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3" w:afterAutospacing="0" w:line="240" w:lineRule="atLeast"/>
        <w:ind w:right="0" w:firstLine="600" w:firstLineChars="200"/>
        <w:jc w:val="left"/>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rPr>
        <w:t>体外诊断试剂领域：</w:t>
      </w:r>
      <w:r>
        <w:rPr>
          <w:rFonts w:hint="eastAsia" w:ascii="微软雅黑" w:hAnsi="微软雅黑" w:eastAsia="微软雅黑" w:cs="微软雅黑"/>
          <w:i w:val="0"/>
          <w:iCs w:val="0"/>
          <w:caps w:val="0"/>
          <w:color w:val="333333"/>
          <w:spacing w:val="0"/>
          <w:sz w:val="30"/>
          <w:szCs w:val="30"/>
        </w:rPr>
        <w:t>围绕战略病种领域与科室的布局进行深耕，依托成熟产品线，平行开展多病种检测试剂的开发，目前拥有多重液相芯片、化学发光、分子诊断、原材料与基础研究、自动化设备等多个技术平台，在呼吸道传染病、重大传染病、药物浓度监测等领域市场占有率处于。</w:t>
      </w:r>
    </w:p>
    <w:p w14:paraId="795AE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3" w:afterAutospacing="0" w:line="240" w:lineRule="atLeast"/>
        <w:ind w:right="0" w:firstLine="600" w:firstLineChars="200"/>
        <w:jc w:val="left"/>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rPr>
        <w:t>未来，丽珠将继续坚守“患者生命质量”的使命和“做医药行业”的愿景，专注生命健康领域，持续以患者临床需求为导向，通过数字化、智能化的技术模式加速提升研发效率，进一步强化在创新药与高壁垒复杂制剂平台上的优势，全面提升可持续发展能力。同时将积极响应国家政策号召，持续肩负药企担当，为健康中国作出更多贡献。</w:t>
      </w:r>
      <w:bookmarkStart w:id="0" w:name="_GoBack"/>
      <w:bookmarkEnd w:id="0"/>
    </w:p>
    <w:p w14:paraId="01DB5F7C">
      <w:pPr>
        <w:rPr>
          <w:sz w:val="30"/>
          <w:szCs w:val="3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YjBmZTg5NDRlYjRmNzU4NjA4NzA4MTNkM2RkMDAifQ=="/>
  </w:docVars>
  <w:rsids>
    <w:rsidRoot w:val="56276498"/>
    <w:rsid w:val="5627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2024-07-09T03:06:00Z</dcterms:created>
  <dc:creator>lsabel</dc:creator>
  <cp:lastModifiedBy>lsabel</cp:lastModifiedBy>
  <dcterms:modified xsi:type="dcterms:W3CDTF">2024-07-09T03:08:14Z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D14D4E99DB204BF6892F111A034E0AE4_11</vt:lpwstr>
  </property>
</Properties>
</file>