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C2F" w:rsidRDefault="007A2C6D">
      <w:pPr>
        <w:spacing w:line="360" w:lineRule="auto"/>
        <w:jc w:val="center"/>
        <w:rPr>
          <w:rFonts w:ascii="宋体" w:hAnsi="宋体"/>
          <w:b/>
          <w:bCs/>
          <w:sz w:val="24"/>
        </w:rPr>
      </w:pPr>
      <w:proofErr w:type="gramStart"/>
      <w:r>
        <w:rPr>
          <w:rFonts w:ascii="宋体" w:hAnsi="宋体" w:hint="eastAsia"/>
          <w:b/>
          <w:bCs/>
          <w:sz w:val="24"/>
        </w:rPr>
        <w:t>凯</w:t>
      </w:r>
      <w:proofErr w:type="gramEnd"/>
      <w:r>
        <w:rPr>
          <w:rFonts w:ascii="宋体" w:hAnsi="宋体" w:hint="eastAsia"/>
          <w:b/>
          <w:bCs/>
          <w:sz w:val="24"/>
        </w:rPr>
        <w:t>普</w:t>
      </w:r>
      <w:r>
        <w:rPr>
          <w:rFonts w:ascii="宋体" w:hAnsi="宋体" w:hint="eastAsia"/>
          <w:b/>
          <w:bCs/>
          <w:sz w:val="24"/>
        </w:rPr>
        <w:t>公司</w:t>
      </w:r>
      <w:r>
        <w:rPr>
          <w:rFonts w:ascii="宋体" w:hAnsi="宋体" w:hint="eastAsia"/>
          <w:b/>
          <w:bCs/>
          <w:sz w:val="24"/>
        </w:rPr>
        <w:t>简介</w:t>
      </w:r>
      <w:r>
        <w:rPr>
          <w:rFonts w:ascii="宋体" w:hAnsi="宋体" w:hint="eastAsia"/>
          <w:b/>
          <w:bCs/>
          <w:sz w:val="24"/>
        </w:rPr>
        <w:t>（</w:t>
      </w:r>
      <w:r>
        <w:rPr>
          <w:rFonts w:ascii="宋体" w:hAnsi="宋体" w:hint="eastAsia"/>
          <w:b/>
          <w:bCs/>
          <w:sz w:val="24"/>
        </w:rPr>
        <w:t>200</w:t>
      </w:r>
      <w:r>
        <w:rPr>
          <w:rFonts w:ascii="宋体" w:hAnsi="宋体" w:hint="eastAsia"/>
          <w:b/>
          <w:bCs/>
          <w:sz w:val="24"/>
        </w:rPr>
        <w:t>字左右</w:t>
      </w:r>
      <w:r>
        <w:rPr>
          <w:rFonts w:ascii="宋体" w:hAnsi="宋体" w:hint="eastAsia"/>
          <w:b/>
          <w:bCs/>
          <w:sz w:val="24"/>
        </w:rPr>
        <w:t>）</w:t>
      </w:r>
    </w:p>
    <w:p w:rsidR="00FE0C2F" w:rsidRDefault="007A2C6D">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公司全称：广州凯普生物科技有限公司</w:t>
      </w:r>
      <w:bookmarkStart w:id="0" w:name="_GoBack"/>
      <w:bookmarkEnd w:id="0"/>
    </w:p>
    <w:p w:rsidR="00FE0C2F" w:rsidRDefault="007A2C6D">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200</w:t>
      </w:r>
      <w:r>
        <w:rPr>
          <w:rFonts w:ascii="宋体" w:eastAsia="宋体" w:hAnsi="宋体" w:cs="宋体" w:hint="eastAsia"/>
          <w:color w:val="000000"/>
          <w:sz w:val="24"/>
        </w:rPr>
        <w:t>字简介：</w:t>
      </w:r>
    </w:p>
    <w:p w:rsidR="00FE0C2F" w:rsidRDefault="007A2C6D">
      <w:pPr>
        <w:spacing w:line="360" w:lineRule="auto"/>
        <w:ind w:firstLineChars="200" w:firstLine="480"/>
        <w:rPr>
          <w:rFonts w:ascii="宋体" w:eastAsia="宋体" w:hAnsi="宋体" w:cs="宋体"/>
          <w:color w:val="000000" w:themeColor="text1"/>
          <w:sz w:val="24"/>
        </w:rPr>
      </w:pPr>
      <w:proofErr w:type="gramStart"/>
      <w:r>
        <w:rPr>
          <w:rFonts w:ascii="宋体" w:eastAsia="宋体" w:hAnsi="宋体" w:cs="宋体" w:hint="eastAsia"/>
          <w:color w:val="000000" w:themeColor="text1"/>
          <w:sz w:val="24"/>
        </w:rPr>
        <w:t>凯</w:t>
      </w:r>
      <w:proofErr w:type="gramEnd"/>
      <w:r>
        <w:rPr>
          <w:rFonts w:ascii="宋体" w:eastAsia="宋体" w:hAnsi="宋体" w:cs="宋体" w:hint="eastAsia"/>
          <w:color w:val="000000" w:themeColor="text1"/>
          <w:sz w:val="24"/>
        </w:rPr>
        <w:t>普生物是国内核酸全产业链领先企业和全国规模化的第三方医学检验集团，</w:t>
      </w:r>
      <w:r>
        <w:rPr>
          <w:rFonts w:ascii="宋体" w:eastAsia="宋体" w:hAnsi="宋体" w:cs="宋体" w:hint="eastAsia"/>
          <w:color w:val="000000" w:themeColor="text1"/>
          <w:sz w:val="24"/>
        </w:rPr>
        <w:t>专注于分子诊断试剂、分子诊断配套仪器等核酸诊断相关产品的研发、生产和销售，并提供相关服务。</w:t>
      </w:r>
      <w:r>
        <w:rPr>
          <w:rFonts w:ascii="宋体" w:eastAsia="宋体" w:hAnsi="宋体" w:cs="宋体" w:hint="eastAsia"/>
          <w:color w:val="000000" w:themeColor="text1"/>
          <w:sz w:val="24"/>
        </w:rPr>
        <w:t>在全国</w:t>
      </w:r>
      <w:r>
        <w:rPr>
          <w:rFonts w:ascii="宋体" w:eastAsia="宋体" w:hAnsi="宋体" w:cs="宋体" w:hint="eastAsia"/>
          <w:color w:val="000000" w:themeColor="text1"/>
          <w:sz w:val="24"/>
        </w:rPr>
        <w:t>布局</w:t>
      </w:r>
      <w:r>
        <w:rPr>
          <w:rFonts w:ascii="宋体" w:eastAsia="宋体" w:hAnsi="宋体" w:cs="宋体" w:hint="eastAsia"/>
          <w:color w:val="000000" w:themeColor="text1"/>
          <w:sz w:val="24"/>
        </w:rPr>
        <w:t>建设</w:t>
      </w:r>
      <w:r>
        <w:rPr>
          <w:rFonts w:ascii="宋体" w:eastAsia="宋体" w:hAnsi="宋体" w:cs="宋体" w:hint="eastAsia"/>
          <w:color w:val="000000" w:themeColor="text1"/>
          <w:sz w:val="24"/>
        </w:rPr>
        <w:t>超</w:t>
      </w:r>
      <w:r>
        <w:rPr>
          <w:rFonts w:ascii="宋体" w:eastAsia="宋体" w:hAnsi="宋体" w:cs="宋体" w:hint="eastAsia"/>
          <w:color w:val="000000" w:themeColor="text1"/>
          <w:sz w:val="24"/>
        </w:rPr>
        <w:t>50</w:t>
      </w:r>
      <w:r>
        <w:rPr>
          <w:rFonts w:ascii="宋体" w:eastAsia="宋体" w:hAnsi="宋体" w:cs="宋体" w:hint="eastAsia"/>
          <w:color w:val="000000" w:themeColor="text1"/>
          <w:sz w:val="24"/>
        </w:rPr>
        <w:t>家</w:t>
      </w:r>
      <w:proofErr w:type="gramStart"/>
      <w:r>
        <w:rPr>
          <w:rFonts w:ascii="宋体" w:eastAsia="宋体" w:hAnsi="宋体" w:cs="宋体" w:hint="eastAsia"/>
          <w:color w:val="000000" w:themeColor="text1"/>
          <w:sz w:val="24"/>
        </w:rPr>
        <w:t>凯</w:t>
      </w:r>
      <w:proofErr w:type="gramEnd"/>
      <w:r>
        <w:rPr>
          <w:rFonts w:ascii="宋体" w:eastAsia="宋体" w:hAnsi="宋体" w:cs="宋体" w:hint="eastAsia"/>
          <w:color w:val="000000" w:themeColor="text1"/>
          <w:sz w:val="24"/>
        </w:rPr>
        <w:t>普医学检验所，提供肿瘤、病理、分子等高端特检和常规普检</w:t>
      </w:r>
      <w:r>
        <w:rPr>
          <w:rFonts w:ascii="宋体" w:eastAsia="宋体" w:hAnsi="宋体" w:cs="宋体" w:hint="eastAsia"/>
          <w:color w:val="000000" w:themeColor="text1"/>
          <w:sz w:val="24"/>
        </w:rPr>
        <w:t>超</w:t>
      </w:r>
      <w:r>
        <w:rPr>
          <w:rFonts w:ascii="宋体" w:eastAsia="宋体" w:hAnsi="宋体" w:cs="宋体" w:hint="eastAsia"/>
          <w:color w:val="000000" w:themeColor="text1"/>
          <w:sz w:val="24"/>
        </w:rPr>
        <w:t>2000</w:t>
      </w:r>
      <w:r>
        <w:rPr>
          <w:rFonts w:ascii="宋体" w:eastAsia="宋体" w:hAnsi="宋体" w:cs="宋体" w:hint="eastAsia"/>
          <w:color w:val="000000" w:themeColor="text1"/>
          <w:sz w:val="24"/>
        </w:rPr>
        <w:t>种检测项目，</w:t>
      </w:r>
      <w:r>
        <w:rPr>
          <w:rFonts w:ascii="宋体" w:eastAsia="宋体" w:hAnsi="宋体" w:cs="宋体" w:hint="eastAsia"/>
          <w:color w:val="000000" w:themeColor="text1"/>
          <w:sz w:val="24"/>
        </w:rPr>
        <w:t>同时</w:t>
      </w:r>
      <w:r>
        <w:rPr>
          <w:rFonts w:ascii="宋体" w:eastAsia="宋体" w:hAnsi="宋体" w:cs="宋体" w:hint="eastAsia"/>
          <w:color w:val="000000" w:themeColor="text1"/>
          <w:sz w:val="24"/>
        </w:rPr>
        <w:t>在全国</w:t>
      </w:r>
      <w:r>
        <w:rPr>
          <w:rFonts w:ascii="宋体" w:eastAsia="宋体" w:hAnsi="宋体" w:cs="宋体" w:hint="eastAsia"/>
          <w:color w:val="000000" w:themeColor="text1"/>
          <w:sz w:val="24"/>
        </w:rPr>
        <w:t>16</w:t>
      </w:r>
      <w:r>
        <w:rPr>
          <w:rFonts w:ascii="宋体" w:eastAsia="宋体" w:hAnsi="宋体" w:cs="宋体" w:hint="eastAsia"/>
          <w:color w:val="000000" w:themeColor="text1"/>
          <w:sz w:val="24"/>
        </w:rPr>
        <w:t>个</w:t>
      </w:r>
      <w:r>
        <w:rPr>
          <w:rFonts w:ascii="宋体" w:eastAsia="宋体" w:hAnsi="宋体" w:cs="宋体" w:hint="eastAsia"/>
          <w:color w:val="000000" w:themeColor="text1"/>
          <w:sz w:val="24"/>
        </w:rPr>
        <w:t>城市</w:t>
      </w:r>
      <w:r>
        <w:rPr>
          <w:rFonts w:ascii="宋体" w:eastAsia="宋体" w:hAnsi="宋体" w:cs="宋体" w:hint="eastAsia"/>
          <w:color w:val="000000" w:themeColor="text1"/>
          <w:sz w:val="24"/>
        </w:rPr>
        <w:t>建立理化检测实验室，</w:t>
      </w:r>
      <w:r>
        <w:rPr>
          <w:rFonts w:ascii="宋体" w:eastAsia="宋体" w:hAnsi="宋体" w:cs="宋体" w:hint="eastAsia"/>
          <w:color w:val="000000" w:themeColor="text1"/>
          <w:sz w:val="24"/>
        </w:rPr>
        <w:t>专业提供</w:t>
      </w:r>
      <w:r>
        <w:rPr>
          <w:rFonts w:ascii="宋体" w:eastAsia="宋体" w:hAnsi="宋体" w:cs="宋体" w:hint="eastAsia"/>
          <w:color w:val="000000" w:themeColor="text1"/>
          <w:sz w:val="24"/>
        </w:rPr>
        <w:t>毒（药）</w:t>
      </w:r>
      <w:proofErr w:type="gramStart"/>
      <w:r>
        <w:rPr>
          <w:rFonts w:ascii="宋体" w:eastAsia="宋体" w:hAnsi="宋体" w:cs="宋体" w:hint="eastAsia"/>
          <w:color w:val="000000" w:themeColor="text1"/>
          <w:sz w:val="24"/>
        </w:rPr>
        <w:t>物分析</w:t>
      </w:r>
      <w:proofErr w:type="gramEnd"/>
      <w:r>
        <w:rPr>
          <w:rFonts w:ascii="宋体" w:eastAsia="宋体" w:hAnsi="宋体" w:cs="宋体" w:hint="eastAsia"/>
          <w:color w:val="000000" w:themeColor="text1"/>
          <w:sz w:val="24"/>
        </w:rPr>
        <w:t>服务，为公共安全提供技术支持，</w:t>
      </w:r>
      <w:r>
        <w:rPr>
          <w:rFonts w:ascii="宋体" w:eastAsia="宋体" w:hAnsi="宋体" w:cs="宋体" w:hint="eastAsia"/>
          <w:color w:val="000000" w:themeColor="text1"/>
          <w:sz w:val="24"/>
        </w:rPr>
        <w:t>致力打造三个</w:t>
      </w:r>
      <w:proofErr w:type="gramStart"/>
      <w:r>
        <w:rPr>
          <w:rFonts w:ascii="宋体" w:eastAsia="宋体" w:hAnsi="宋体" w:cs="宋体" w:hint="eastAsia"/>
          <w:color w:val="000000" w:themeColor="text1"/>
          <w:sz w:val="24"/>
        </w:rPr>
        <w:t>凯普服务</w:t>
      </w:r>
      <w:proofErr w:type="gramEnd"/>
      <w:r>
        <w:rPr>
          <w:rFonts w:ascii="宋体" w:eastAsia="宋体" w:hAnsi="宋体" w:cs="宋体" w:hint="eastAsia"/>
          <w:color w:val="000000" w:themeColor="text1"/>
          <w:sz w:val="24"/>
        </w:rPr>
        <w:t>网络，</w:t>
      </w:r>
      <w:r>
        <w:rPr>
          <w:rFonts w:ascii="宋体" w:eastAsia="宋体" w:hAnsi="宋体" w:cs="宋体" w:hint="eastAsia"/>
          <w:color w:val="000000" w:themeColor="text1"/>
          <w:sz w:val="24"/>
        </w:rPr>
        <w:t>实现“试剂</w:t>
      </w:r>
      <w:r>
        <w:rPr>
          <w:rFonts w:ascii="宋体" w:eastAsia="宋体" w:hAnsi="宋体" w:cs="宋体" w:hint="eastAsia"/>
          <w:color w:val="000000" w:themeColor="text1"/>
          <w:sz w:val="24"/>
        </w:rPr>
        <w:t>+</w:t>
      </w:r>
      <w:r>
        <w:rPr>
          <w:rFonts w:ascii="宋体" w:eastAsia="宋体" w:hAnsi="宋体" w:cs="宋体" w:hint="eastAsia"/>
          <w:color w:val="000000" w:themeColor="text1"/>
          <w:sz w:val="24"/>
        </w:rPr>
        <w:t>仪器</w:t>
      </w:r>
      <w:r>
        <w:rPr>
          <w:rFonts w:ascii="宋体" w:eastAsia="宋体" w:hAnsi="宋体" w:cs="宋体" w:hint="eastAsia"/>
          <w:color w:val="000000" w:themeColor="text1"/>
          <w:sz w:val="24"/>
        </w:rPr>
        <w:t>+</w:t>
      </w:r>
      <w:r>
        <w:rPr>
          <w:rFonts w:ascii="宋体" w:eastAsia="宋体" w:hAnsi="宋体" w:cs="宋体" w:hint="eastAsia"/>
          <w:color w:val="000000" w:themeColor="text1"/>
          <w:sz w:val="24"/>
        </w:rPr>
        <w:t>检测服务”的一体化经营模式。</w:t>
      </w:r>
    </w:p>
    <w:p w:rsidR="00FE0C2F" w:rsidRDefault="007A2C6D">
      <w:pPr>
        <w:rPr>
          <w:rFonts w:ascii="宋体" w:eastAsia="宋体" w:hAnsi="宋体" w:cs="宋体"/>
          <w:sz w:val="24"/>
        </w:rPr>
      </w:pPr>
      <w:r>
        <w:rPr>
          <w:rFonts w:ascii="宋体" w:eastAsia="宋体" w:hAnsi="宋体" w:cs="宋体" w:hint="eastAsia"/>
          <w:noProof/>
          <w:sz w:val="24"/>
        </w:rPr>
        <w:drawing>
          <wp:inline distT="0" distB="0" distL="114300" distR="114300">
            <wp:extent cx="5013325" cy="2820670"/>
            <wp:effectExtent l="0" t="0" r="15875" b="17780"/>
            <wp:docPr id="2" name="图片 2" descr="b93425da5457c3b5d3709ad5d3c3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3425da5457c3b5d3709ad5d3c3dd2"/>
                    <pic:cNvPicPr>
                      <a:picLocks noChangeAspect="1"/>
                    </pic:cNvPicPr>
                  </pic:nvPicPr>
                  <pic:blipFill>
                    <a:blip r:embed="rId4"/>
                    <a:stretch>
                      <a:fillRect/>
                    </a:stretch>
                  </pic:blipFill>
                  <pic:spPr>
                    <a:xfrm>
                      <a:off x="0" y="0"/>
                      <a:ext cx="5013325" cy="2820670"/>
                    </a:xfrm>
                    <a:prstGeom prst="rect">
                      <a:avLst/>
                    </a:prstGeom>
                  </pic:spPr>
                </pic:pic>
              </a:graphicData>
            </a:graphic>
          </wp:inline>
        </w:drawing>
      </w:r>
    </w:p>
    <w:p w:rsidR="00FE0C2F" w:rsidRDefault="007A2C6D">
      <w:pPr>
        <w:rPr>
          <w:rFonts w:ascii="宋体" w:eastAsia="宋体" w:hAnsi="宋体" w:cs="宋体"/>
          <w:sz w:val="24"/>
        </w:rPr>
      </w:pPr>
      <w:r>
        <w:rPr>
          <w:rFonts w:ascii="宋体" w:eastAsia="宋体" w:hAnsi="宋体" w:cs="宋体" w:hint="eastAsia"/>
          <w:noProof/>
          <w:sz w:val="24"/>
        </w:rPr>
        <w:drawing>
          <wp:inline distT="0" distB="0" distL="114300" distR="114300">
            <wp:extent cx="5026660" cy="2828290"/>
            <wp:effectExtent l="0" t="0" r="2540" b="10160"/>
            <wp:docPr id="1" name="图片 1" descr="53ba03f62c41fee137941e0ac66b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3ba03f62c41fee137941e0ac66b8a6"/>
                    <pic:cNvPicPr>
                      <a:picLocks noChangeAspect="1"/>
                    </pic:cNvPicPr>
                  </pic:nvPicPr>
                  <pic:blipFill>
                    <a:blip r:embed="rId5"/>
                    <a:stretch>
                      <a:fillRect/>
                    </a:stretch>
                  </pic:blipFill>
                  <pic:spPr>
                    <a:xfrm>
                      <a:off x="0" y="0"/>
                      <a:ext cx="5026660" cy="2828290"/>
                    </a:xfrm>
                    <a:prstGeom prst="rect">
                      <a:avLst/>
                    </a:prstGeom>
                  </pic:spPr>
                </pic:pic>
              </a:graphicData>
            </a:graphic>
          </wp:inline>
        </w:drawing>
      </w:r>
    </w:p>
    <w:sectPr w:rsidR="00FE0C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5NjJmMjViY2E1YTRmMTBlOWIzMjAyYmViODc2NGIifQ=="/>
    <w:docVar w:name="KSO_WPS_MARK_KEY" w:val="14e4d6da-a61e-46ea-a63b-bb9a15036ac8"/>
  </w:docVars>
  <w:rsids>
    <w:rsidRoot w:val="0FD73A6B"/>
    <w:rsid w:val="007A2C6D"/>
    <w:rsid w:val="00FE0C2F"/>
    <w:rsid w:val="0BBC2B25"/>
    <w:rsid w:val="0FD73A6B"/>
    <w:rsid w:val="186C7681"/>
    <w:rsid w:val="1DA82DEA"/>
    <w:rsid w:val="1E6037E4"/>
    <w:rsid w:val="2BDA4BD6"/>
    <w:rsid w:val="362D729E"/>
    <w:rsid w:val="40775DE7"/>
    <w:rsid w:val="4E225AEC"/>
    <w:rsid w:val="608F7035"/>
    <w:rsid w:val="61B51C3E"/>
    <w:rsid w:val="6D3671B7"/>
    <w:rsid w:val="73852348"/>
    <w:rsid w:val="79EE0E19"/>
    <w:rsid w:val="7CFD3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B2C712"/>
  <w15:docId w15:val="{F96D2847-343A-45BB-A29F-26527D57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Words>
  <Characters>219</Characters>
  <Application>Microsoft Office Word</Application>
  <DocSecurity>0</DocSecurity>
  <Lines>1</Lines>
  <Paragraphs>1</Paragraphs>
  <ScaleCrop>false</ScaleCrop>
  <Company/>
  <LinksUpToDate>false</LinksUpToDate>
  <CharactersWithSpaces>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WPS_1546356165</dc:creator>
  <cp:lastModifiedBy>QC</cp:lastModifiedBy>
  <cp:revision>2</cp:revision>
  <dcterms:created xsi:type="dcterms:W3CDTF">2023-01-12T02:47:00Z</dcterms:created>
  <dcterms:modified xsi:type="dcterms:W3CDTF">2023-11-10T06:51:00Z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60C692A217C6457595C4B4013913F425</vt:lpwstr>
  </property>
</Properties>
</file>