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骨优导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通用名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骨修复材料</w:t>
      </w: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型号规格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0.3mg 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0.5mg-lrhBMP-2/瓶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0.5mg-ll 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0.8mg 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1.0mgrhBMP-2/瓶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1.2mg 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1.5mg rhBMP-2/瓶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2.0mg rhBMP-2/瓶等</w:t>
      </w:r>
    </w:p>
    <w:p>
      <w:pPr>
        <w:rPr>
          <w:rFonts w:hint="eastAsia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按活性成分精准定量</w:t>
      </w:r>
      <w:r>
        <w:rPr>
          <w:rFonts w:ascii="宋体" w:hAnsi="宋体" w:eastAsia="宋体"/>
          <w:sz w:val="24"/>
          <w:szCs w:val="24"/>
        </w:rPr>
        <w:t xml:space="preserve"> rhBMP-2 的骨修复材料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高效的骨诱导性，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良好的生物相容性，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载体可降解吸收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国家科技部 863 重大科技专项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运用基因工程技术制备具有骨诱导生物活性的骨修复材料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荣获“国产优秀医疗设备产品” (2017 年)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荣获“杭州名牌产品” (2017 年)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荣获“骨科加速康复试点工作优秀合作奖”</w:t>
      </w:r>
      <w:r>
        <w:rPr>
          <w:rFonts w:ascii="宋体" w:hAnsi="宋体" w:eastAsia="宋体"/>
          <w:sz w:val="24"/>
          <w:szCs w:val="24"/>
        </w:rPr>
        <w:t xml:space="preserve"> (2023 年)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适用范围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用于骨缺损、骨不连、骨延迟愈合或不愈合的填充修复，以及脊柱融合、关节融合及矫形植骨修复。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5274310" cy="3728720"/>
            <wp:effectExtent l="0" t="0" r="2540" b="5080"/>
            <wp:docPr id="16992524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5244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6"/>
    <w:rsid w:val="0008614D"/>
    <w:rsid w:val="003104A6"/>
    <w:rsid w:val="003813AC"/>
    <w:rsid w:val="00484A1F"/>
    <w:rsid w:val="0080699A"/>
    <w:rsid w:val="008C58D3"/>
    <w:rsid w:val="00CD059C"/>
    <w:rsid w:val="3BABC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</Words>
  <Characters>319</Characters>
  <Lines>2</Lines>
  <Paragraphs>1</Paragraphs>
  <TotalTime>10</TotalTime>
  <ScaleCrop>false</ScaleCrop>
  <LinksUpToDate>false</LinksUpToDate>
  <CharactersWithSpaces>373</CharactersWithSpaces>
  <Application>WPS Office WWO_wpscloud_20231109212122-49d8d70993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2023-11-13T09:41:00Z</dcterms:created>
  <dc:creator>DELL</dc:creator>
  <cp:lastModifiedBy>DELL</cp:lastModifiedBy>
  <dcterms:modified xsi:type="dcterms:W3CDTF">2023-11-16T22:41:25Z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