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default"/>
          <w:lang w:val="en-US" w:eastAsia="zh-CN"/>
        </w:rPr>
      </w:pPr>
      <w:bookmarkStart w:id="0" w:name="_GoBack"/>
      <w:r>
        <w:rPr>
          <w:rFonts w:hint="eastAsia"/>
          <w:lang w:val="en-US" w:eastAsia="zh-CN"/>
        </w:rPr>
        <w:t>迪安诊断介绍</w:t>
      </w:r>
    </w:p>
    <w:p>
      <w:pPr>
        <w:bidi w:val="0"/>
        <w:spacing w:line="360" w:lineRule="auto"/>
        <w:ind w:firstLine="480" w:firstLineChars="200"/>
        <w:rPr>
          <w:rFonts w:hint="eastAsia"/>
          <w:sz w:val="24"/>
          <w:szCs w:val="24"/>
          <w:lang w:val="en-US" w:eastAsia="zh-CN"/>
        </w:rPr>
      </w:pPr>
      <w:r>
        <w:rPr>
          <w:rFonts w:hint="eastAsia"/>
          <w:sz w:val="24"/>
          <w:szCs w:val="24"/>
          <w:lang w:val="en-US" w:eastAsia="zh-CN"/>
        </w:rPr>
        <w:t>迪安诊断技术集团股份有限公司以第三方诊断服务为核心业务，致力提供医学诊断整体化解 决方案。公司创立于1996年，于2011年7月上市 （股票代码：300244）。以“让国人平等地分享健康”为使命，公司积极布局产业生态链，业务涵盖医学诊断服务、诊断技术研发、诊断产品生产及营销、CRO、司法鉴定、健康管理、冷链物流等领域。目前在全国布局43家连锁化医学实验室，已服务全国22000多家医疗机构。</w:t>
      </w:r>
    </w:p>
    <w:p>
      <w:pPr>
        <w:bidi w:val="0"/>
        <w:spacing w:line="360" w:lineRule="auto"/>
        <w:ind w:firstLine="480" w:firstLineChars="200"/>
        <w:rPr>
          <w:rFonts w:hint="eastAsia"/>
          <w:sz w:val="24"/>
          <w:szCs w:val="24"/>
          <w:lang w:val="en-US" w:eastAsia="zh-CN"/>
        </w:rPr>
      </w:pPr>
      <w:r>
        <w:rPr>
          <w:rFonts w:hint="eastAsia"/>
          <w:sz w:val="24"/>
          <w:szCs w:val="24"/>
          <w:lang w:val="en-US" w:eastAsia="zh-CN"/>
        </w:rPr>
        <w:t>公司重点打造肿瘤、感染、慢病、妇幼遗传四大学科，以及基因组学、蛋白及代谢组学两大技术平台。在基因测序、PCR、串联质谱、核酸质谱、病理诊断等领域，凭借研发优势和产品生产能力，拥有众多具有自主知识产权和专利的技术和产品。公司获批国家首批肿瘤诊断与治疗项目高通量基因测序技术试点单位、国家首批基因检测技术临床应用示范中心、国家第三方高性能医学诊疗设备应用示范中心。</w:t>
      </w:r>
    </w:p>
    <w:p>
      <w:pPr>
        <w:numPr>
          <w:ilvl w:val="0"/>
          <w:numId w:val="1"/>
        </w:numPr>
        <w:bidi w:val="0"/>
        <w:spacing w:line="360" w:lineRule="auto"/>
        <w:ind w:firstLine="480" w:firstLineChars="200"/>
        <w:rPr>
          <w:rFonts w:hint="eastAsia"/>
          <w:sz w:val="24"/>
          <w:szCs w:val="24"/>
          <w:lang w:val="en-US" w:eastAsia="zh-CN"/>
        </w:rPr>
      </w:pPr>
      <w:r>
        <w:rPr>
          <w:rFonts w:hint="eastAsia"/>
          <w:sz w:val="24"/>
          <w:szCs w:val="24"/>
          <w:lang w:val="en-US" w:eastAsia="zh-CN"/>
        </w:rPr>
        <w:t>迪安平台</w:t>
      </w:r>
    </w:p>
    <w:p>
      <w:pPr>
        <w:numPr>
          <w:ilvl w:val="0"/>
          <w:numId w:val="0"/>
        </w:numPr>
        <w:bidi w:val="0"/>
        <w:spacing w:line="360" w:lineRule="auto"/>
        <w:ind w:firstLine="480" w:firstLineChars="200"/>
        <w:rPr>
          <w:rFonts w:hint="eastAsia"/>
          <w:sz w:val="24"/>
          <w:szCs w:val="24"/>
          <w:lang w:val="en-US" w:eastAsia="zh-CN"/>
        </w:rPr>
      </w:pPr>
      <w:r>
        <w:rPr>
          <w:rFonts w:hint="eastAsia"/>
          <w:sz w:val="24"/>
          <w:szCs w:val="24"/>
          <w:lang w:val="en-US" w:eastAsia="zh-CN"/>
        </w:rPr>
        <w:t>（1）特色平台一：基因组学</w:t>
      </w:r>
    </w:p>
    <w:p>
      <w:pPr>
        <w:bidi w:val="0"/>
        <w:spacing w:line="360" w:lineRule="auto"/>
        <w:ind w:firstLine="480" w:firstLineChars="200"/>
        <w:rPr>
          <w:rFonts w:hint="eastAsia"/>
          <w:sz w:val="24"/>
          <w:szCs w:val="24"/>
          <w:lang w:val="en-US" w:eastAsia="zh-CN"/>
        </w:rPr>
      </w:pPr>
      <w:r>
        <w:rPr>
          <w:rFonts w:hint="eastAsia"/>
          <w:sz w:val="24"/>
          <w:szCs w:val="24"/>
          <w:lang w:val="en-US" w:eastAsia="zh-CN"/>
        </w:rPr>
        <w:t>基因组学技术平台拥有临床基因组检测中</w:t>
      </w:r>
      <w:r>
        <w:rPr>
          <w:rFonts w:hint="default"/>
          <w:sz w:val="24"/>
          <w:szCs w:val="24"/>
          <w:lang w:val="en-US" w:eastAsia="zh-CN"/>
        </w:rPr>
        <w:t>心、DP-TOF飞行时间质谱检测系统、纳米孔单分子测序系统。临床基因组检测中心由美国病理学家协会（CAP）认证，已建立实时荧光定量PCR、数字PCR</w:t>
      </w:r>
      <w:r>
        <w:rPr>
          <w:rFonts w:hint="eastAsia"/>
          <w:sz w:val="24"/>
          <w:szCs w:val="24"/>
          <w:lang w:val="en-US" w:eastAsia="zh-CN"/>
        </w:rPr>
        <w:t>、</w:t>
      </w:r>
      <w:r>
        <w:rPr>
          <w:rFonts w:hint="default"/>
          <w:sz w:val="24"/>
          <w:szCs w:val="24"/>
          <w:lang w:val="en-US" w:eastAsia="zh-CN"/>
        </w:rPr>
        <w:t>Sanger测序、荧光原位杂交（FISH）、基因芯片、高通量测序技术(NGS)等分子检测技术平台，开展罕见遗传病、肿瘤伴随诊断等临床检测项目，并结合遗传咨询及报告分析解读。</w:t>
      </w:r>
    </w:p>
    <w:p>
      <w:pPr>
        <w:bidi w:val="0"/>
        <w:spacing w:line="360" w:lineRule="auto"/>
        <w:ind w:firstLine="480" w:firstLineChars="200"/>
        <w:rPr>
          <w:rFonts w:hint="eastAsia"/>
          <w:sz w:val="24"/>
          <w:szCs w:val="24"/>
          <w:lang w:val="en-US" w:eastAsia="zh-CN"/>
        </w:rPr>
      </w:pPr>
      <w:r>
        <w:rPr>
          <w:rFonts w:hint="default"/>
          <w:sz w:val="24"/>
          <w:szCs w:val="24"/>
          <w:lang w:val="en-US" w:eastAsia="zh-CN"/>
        </w:rPr>
        <w:t xml:space="preserve">公司遗传与基因组医学首席科学家祁鸣教授是联合国教科文组织-国际人类基因变异组“伦理与标准”专家组成员、国际科学顾问委员会成员、 国际人类基因变异组计划中国区总协调人。DP-TOF飞行时间质谱检测系统(浙械注准 20202220910)是国内首款获批的通用型核酸质谱，是具有高灵敏度与高精度的中通量基因检测平台。 </w:t>
      </w:r>
    </w:p>
    <w:p>
      <w:pPr>
        <w:bidi w:val="0"/>
        <w:spacing w:line="360" w:lineRule="auto"/>
        <w:ind w:firstLine="480" w:firstLineChars="200"/>
        <w:rPr>
          <w:rFonts w:hint="eastAsia"/>
          <w:sz w:val="24"/>
          <w:szCs w:val="24"/>
          <w:lang w:val="en-US" w:eastAsia="zh-CN"/>
        </w:rPr>
      </w:pPr>
      <w:r>
        <w:rPr>
          <w:rFonts w:hint="default"/>
          <w:sz w:val="24"/>
          <w:szCs w:val="24"/>
          <w:lang w:val="en-US" w:eastAsia="zh-CN"/>
        </w:rPr>
        <w:t>纳米孔单分子测序系统是可扩展的测序技术，能够直接实时分析任意长度的DNA或RNA片段，通过实时监测核酸通过纳米孔时的电流变化来工作，解码电流信号以确定碱基序列</w:t>
      </w:r>
      <w:r>
        <w:rPr>
          <w:rFonts w:hint="eastAsia"/>
          <w:sz w:val="24"/>
          <w:szCs w:val="24"/>
          <w:lang w:val="en-US" w:eastAsia="zh-CN"/>
        </w:rPr>
        <w:t>。</w:t>
      </w:r>
    </w:p>
    <w:p>
      <w:pPr>
        <w:bidi w:val="0"/>
        <w:spacing w:line="360" w:lineRule="auto"/>
        <w:ind w:firstLine="480" w:firstLineChars="200"/>
        <w:rPr>
          <w:rFonts w:hint="eastAsia"/>
          <w:sz w:val="24"/>
          <w:szCs w:val="24"/>
          <w:lang w:val="en-US" w:eastAsia="zh-CN"/>
        </w:rPr>
      </w:pPr>
      <w:r>
        <w:rPr>
          <w:rFonts w:hint="eastAsia"/>
          <w:sz w:val="24"/>
          <w:szCs w:val="24"/>
          <w:lang w:val="en-US" w:eastAsia="zh-CN"/>
        </w:rPr>
        <w:t>（2）特色平台二：蛋白组学</w:t>
      </w:r>
    </w:p>
    <w:p>
      <w:pPr>
        <w:bidi w:val="0"/>
        <w:spacing w:line="360" w:lineRule="auto"/>
        <w:ind w:firstLine="480" w:firstLineChars="200"/>
        <w:rPr>
          <w:rFonts w:hint="default"/>
          <w:sz w:val="24"/>
          <w:szCs w:val="24"/>
          <w:lang w:val="en-US" w:eastAsia="zh-CN"/>
        </w:rPr>
      </w:pPr>
      <w:r>
        <w:rPr>
          <w:rFonts w:hint="default"/>
          <w:sz w:val="24"/>
          <w:szCs w:val="24"/>
          <w:lang w:val="en-US" w:eastAsia="zh-CN"/>
        </w:rPr>
        <w:t xml:space="preserve">凯莱谱精准医疗长期致力于运用蛋白及代谢组学在内的多组学数据，推动创新质谱应用的研发和转化。蛋白质组学平台具备多台高精尖高分辨质谱设备，数据质量位居全国同行业前列。通过对关键质谱技术持续研发，目前已具备针对微量体液样本、微量长期保存样本、亚细胞组分样本、细胞分辨率组织样本、转录因子活性检测样本、翻译后修饰样本等样本制备的全面技术，实现了数据依赖（DDA）、数据非依赖（DIA）蛋白质组学数据采集和标记/非标记蛋白质组学精确定量能力。 </w:t>
      </w:r>
    </w:p>
    <w:p>
      <w:pPr>
        <w:bidi w:val="0"/>
        <w:spacing w:line="360" w:lineRule="auto"/>
        <w:ind w:firstLine="480" w:firstLineChars="200"/>
        <w:rPr>
          <w:rFonts w:hint="default"/>
          <w:sz w:val="24"/>
          <w:szCs w:val="24"/>
          <w:lang w:val="en-US" w:eastAsia="zh-CN"/>
        </w:rPr>
      </w:pPr>
      <w:r>
        <w:rPr>
          <w:rFonts w:hint="default"/>
          <w:sz w:val="24"/>
          <w:szCs w:val="24"/>
          <w:lang w:val="en-US" w:eastAsia="zh-CN"/>
        </w:rPr>
        <w:t>凯莱谱精准医疗自主研发的CalOmics多组学研究平台运用高分辨质谱技术、自建的业内领先代谢物标准品数据库和专利的实验室管理平台， 实现自动、快速地鉴定和定量代谢物。该平台以超 高效液相色谱-串联质谱联用技术为基础，应用高质量精度、高分辨率、高灵敏度质谱技术进行非靶标的全面代谢物组成检测分析，并基于凯莱谱CalQuant-S、SCIEX TripleQuad 6500+等精确定量质谱分析平台，就国内常见疾病，特别是心血管疾病、代谢性疾病、肿瘤、肠道微生态等临床领域，与各大医疗机构合作，开展大人群样本临床验证，相应研发和转化为各类临床质谱诊断试剂盒产品。</w:t>
      </w:r>
    </w:p>
    <w:p>
      <w:pPr>
        <w:bidi w:val="0"/>
        <w:spacing w:line="360" w:lineRule="auto"/>
        <w:ind w:firstLine="480" w:firstLineChars="200"/>
        <w:rPr>
          <w:rFonts w:hint="eastAsia"/>
          <w:sz w:val="24"/>
          <w:szCs w:val="24"/>
          <w:lang w:val="en-US" w:eastAsia="zh-CN"/>
        </w:rPr>
      </w:pPr>
      <w:r>
        <w:rPr>
          <w:rFonts w:hint="eastAsia"/>
          <w:sz w:val="24"/>
          <w:szCs w:val="24"/>
          <w:lang w:val="en-US" w:eastAsia="zh-CN"/>
        </w:rPr>
        <w:t>其他技术平台</w:t>
      </w:r>
    </w:p>
    <w:p>
      <w:pPr>
        <w:bidi w:val="0"/>
        <w:spacing w:line="360" w:lineRule="auto"/>
        <w:ind w:firstLine="480" w:firstLineChars="200"/>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生化免疫技术平台 </w:t>
      </w:r>
    </w:p>
    <w:p>
      <w:pPr>
        <w:bidi w:val="0"/>
        <w:spacing w:line="360" w:lineRule="auto"/>
        <w:ind w:firstLine="480" w:firstLineChars="200"/>
        <w:rPr>
          <w:rFonts w:hint="default"/>
          <w:sz w:val="24"/>
          <w:szCs w:val="24"/>
          <w:lang w:val="en-US" w:eastAsia="zh-CN"/>
        </w:rPr>
      </w:pPr>
      <w:r>
        <w:rPr>
          <w:rFonts w:hint="default"/>
          <w:sz w:val="24"/>
          <w:szCs w:val="24"/>
          <w:lang w:val="en-US" w:eastAsia="zh-CN"/>
        </w:rPr>
        <w:t>拥有罗氏诊断cobas 8000全自动生化免疫流水线3条，包括前处理5台、分析模块41台（其中生化模块11个、发光免疫模块30台），检测规模现居罗氏流水线亚洲第一。</w:t>
      </w:r>
    </w:p>
    <w:p>
      <w:pPr>
        <w:bidi w:val="0"/>
        <w:spacing w:line="360" w:lineRule="auto"/>
        <w:ind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临床检验技术平台</w:t>
      </w:r>
    </w:p>
    <w:p>
      <w:pPr>
        <w:bidi w:val="0"/>
        <w:spacing w:line="360" w:lineRule="auto"/>
        <w:ind w:firstLine="480" w:firstLineChars="200"/>
        <w:rPr>
          <w:rFonts w:hint="default"/>
          <w:sz w:val="24"/>
          <w:szCs w:val="24"/>
          <w:lang w:val="en-US" w:eastAsia="zh-CN"/>
        </w:rPr>
      </w:pPr>
      <w:r>
        <w:rPr>
          <w:rFonts w:hint="default"/>
          <w:sz w:val="24"/>
          <w:szCs w:val="24"/>
          <w:lang w:val="en-US" w:eastAsia="zh-CN"/>
        </w:rPr>
        <w:t>科室拥有全自动血液常规流水线、琼脂糖凝胶电泳仪、毛细管电泳仪。电泳项目均采用sebia公司生产的配套检测系统，方法学经典，采用琼脂糖凝胶电泳法和毛细管电泳法进行检测。</w:t>
      </w:r>
    </w:p>
    <w:p>
      <w:pPr>
        <w:bidi w:val="0"/>
        <w:spacing w:line="360" w:lineRule="auto"/>
        <w:ind w:firstLine="480" w:firstLineChars="200"/>
        <w:rPr>
          <w:rFonts w:hint="eastAsia"/>
          <w:sz w:val="24"/>
          <w:szCs w:val="24"/>
          <w:lang w:val="en-US" w:eastAsia="zh-CN"/>
        </w:rPr>
      </w:pPr>
      <w:r>
        <w:rPr>
          <w:rFonts w:hint="eastAsia"/>
          <w:sz w:val="24"/>
          <w:szCs w:val="24"/>
          <w:lang w:val="en-US" w:eastAsia="zh-CN"/>
        </w:rPr>
        <w:t>（3）微生物技术平台</w:t>
      </w:r>
    </w:p>
    <w:p>
      <w:pPr>
        <w:bidi w:val="0"/>
        <w:spacing w:line="360" w:lineRule="auto"/>
        <w:ind w:firstLine="480" w:firstLineChars="200"/>
        <w:rPr>
          <w:rFonts w:hint="eastAsia"/>
          <w:sz w:val="24"/>
          <w:szCs w:val="24"/>
          <w:lang w:val="en-US" w:eastAsia="zh-CN"/>
        </w:rPr>
      </w:pPr>
      <w:r>
        <w:rPr>
          <w:rFonts w:hint="eastAsia"/>
          <w:sz w:val="24"/>
          <w:szCs w:val="24"/>
          <w:lang w:val="en-US" w:eastAsia="zh-CN"/>
        </w:rPr>
        <w:t>（4）细胞遗传平台</w:t>
      </w:r>
    </w:p>
    <w:p>
      <w:pPr>
        <w:bidi w:val="0"/>
        <w:spacing w:line="360" w:lineRule="auto"/>
        <w:ind w:firstLine="480" w:firstLineChars="200"/>
        <w:rPr>
          <w:rFonts w:hint="default"/>
          <w:sz w:val="24"/>
          <w:szCs w:val="24"/>
          <w:lang w:val="en-US" w:eastAsia="zh-CN"/>
        </w:rPr>
      </w:pPr>
      <w:r>
        <w:rPr>
          <w:rFonts w:hint="eastAsia"/>
          <w:sz w:val="24"/>
          <w:szCs w:val="24"/>
          <w:lang w:val="en-US" w:eastAsia="zh-CN"/>
        </w:rPr>
        <w:t>（5）流式细胞平台</w:t>
      </w:r>
    </w:p>
    <w:p>
      <w:pPr>
        <w:bidi w:val="0"/>
        <w:spacing w:line="360" w:lineRule="auto"/>
        <w:ind w:firstLine="480" w:firstLineChars="200"/>
        <w:rPr>
          <w:rFonts w:hint="eastAsia"/>
          <w:sz w:val="24"/>
          <w:szCs w:val="24"/>
          <w:lang w:val="en-US" w:eastAsia="zh-CN"/>
        </w:rPr>
      </w:pPr>
      <w:r>
        <w:rPr>
          <w:rFonts w:hint="eastAsia"/>
          <w:sz w:val="24"/>
          <w:szCs w:val="24"/>
          <w:lang w:val="en-US" w:eastAsia="zh-CN"/>
        </w:rPr>
        <w:t>（6）细胞形态平台</w:t>
      </w:r>
    </w:p>
    <w:p>
      <w:pPr>
        <w:bidi w:val="0"/>
        <w:spacing w:line="360" w:lineRule="auto"/>
        <w:ind w:firstLine="480" w:firstLineChars="200"/>
        <w:rPr>
          <w:rFonts w:hint="eastAsia"/>
          <w:sz w:val="24"/>
          <w:szCs w:val="24"/>
          <w:lang w:val="en-US" w:eastAsia="zh-CN"/>
        </w:rPr>
      </w:pPr>
      <w:r>
        <w:rPr>
          <w:rFonts w:hint="eastAsia"/>
          <w:sz w:val="24"/>
          <w:szCs w:val="24"/>
          <w:lang w:val="en-US" w:eastAsia="zh-CN"/>
        </w:rPr>
        <w:t>（7）病理诊断</w:t>
      </w:r>
    </w:p>
    <w:p>
      <w:pPr>
        <w:bidi w:val="0"/>
        <w:spacing w:line="360" w:lineRule="auto"/>
        <w:ind w:firstLine="480" w:firstLineChars="200"/>
        <w:rPr>
          <w:rFonts w:hint="eastAsia"/>
          <w:sz w:val="24"/>
          <w:szCs w:val="24"/>
          <w:lang w:val="en-US" w:eastAsia="zh-CN"/>
        </w:rPr>
      </w:pPr>
      <w:r>
        <w:rPr>
          <w:rFonts w:hint="eastAsia"/>
          <w:sz w:val="24"/>
          <w:szCs w:val="24"/>
          <w:lang w:val="en-US" w:eastAsia="zh-CN"/>
        </w:rPr>
        <w:t>二、迪安服务模式</w:t>
      </w:r>
    </w:p>
    <w:p>
      <w:pPr>
        <w:bidi w:val="0"/>
        <w:spacing w:line="360" w:lineRule="auto"/>
        <w:ind w:firstLine="480" w:firstLineChars="200"/>
        <w:rPr>
          <w:rFonts w:hint="default"/>
          <w:sz w:val="24"/>
          <w:szCs w:val="24"/>
          <w:lang w:val="en-US" w:eastAsia="zh-CN"/>
        </w:rPr>
      </w:pPr>
      <w:r>
        <w:rPr>
          <w:rFonts w:hint="eastAsia"/>
          <w:sz w:val="24"/>
          <w:szCs w:val="24"/>
          <w:lang w:val="en-US" w:eastAsia="zh-CN"/>
        </w:rPr>
        <w:t>（1）合作共建</w:t>
      </w:r>
    </w:p>
    <w:p>
      <w:pPr>
        <w:bidi w:val="0"/>
        <w:spacing w:line="360" w:lineRule="auto"/>
        <w:ind w:firstLine="480" w:firstLineChars="200"/>
        <w:rPr>
          <w:rFonts w:hint="default"/>
          <w:sz w:val="24"/>
          <w:szCs w:val="24"/>
          <w:lang w:val="en-US" w:eastAsia="zh-CN"/>
        </w:rPr>
      </w:pPr>
      <w:r>
        <w:rPr>
          <w:rFonts w:hint="eastAsia"/>
          <w:sz w:val="24"/>
          <w:szCs w:val="24"/>
          <w:lang w:val="en-US" w:eastAsia="zh-CN"/>
        </w:rPr>
        <w:t>在区域检验中心或医院实验室人、财、物所有权不变的前提下，迪安诊断对实验室的人员、场地、设备、试剂、项目、质量、服务、形象等提供全方位的咨询建议和管理输出，助力实验室有效提升诊断技术水平及质量管理能力，降低运营成本，提高运营效率.</w:t>
      </w:r>
    </w:p>
    <w:p>
      <w:pPr>
        <w:bidi w:val="0"/>
        <w:spacing w:line="360" w:lineRule="auto"/>
        <w:jc w:val="center"/>
        <w:rPr>
          <w:rFonts w:hint="eastAsia"/>
          <w:sz w:val="24"/>
          <w:szCs w:val="24"/>
          <w:lang w:val="en-US" w:eastAsia="zh-CN"/>
        </w:rPr>
      </w:pPr>
      <w:r>
        <w:rPr>
          <w:rFonts w:hint="eastAsia"/>
          <w:sz w:val="24"/>
          <w:szCs w:val="24"/>
          <w:lang w:val="en-US" w:eastAsia="zh-CN"/>
        </w:rPr>
        <w:drawing>
          <wp:inline distT="0" distB="0" distL="114300" distR="114300">
            <wp:extent cx="4000500" cy="3149600"/>
            <wp:effectExtent l="0" t="0" r="0" b="0"/>
            <wp:docPr id="1" name="图片 1" descr="170002275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022756604"/>
                    <pic:cNvPicPr>
                      <a:picLocks noChangeAspect="1"/>
                    </pic:cNvPicPr>
                  </pic:nvPicPr>
                  <pic:blipFill>
                    <a:blip r:embed="rId4"/>
                    <a:stretch>
                      <a:fillRect/>
                    </a:stretch>
                  </pic:blipFill>
                  <pic:spPr>
                    <a:xfrm>
                      <a:off x="0" y="0"/>
                      <a:ext cx="4000500" cy="3149600"/>
                    </a:xfrm>
                    <a:prstGeom prst="rect">
                      <a:avLst/>
                    </a:prstGeom>
                  </pic:spPr>
                </pic:pic>
              </a:graphicData>
            </a:graphic>
          </wp:inline>
        </w:drawing>
      </w:r>
    </w:p>
    <w:p>
      <w:pPr>
        <w:keepNext w:val="0"/>
        <w:keepLines w:val="0"/>
        <w:widowControl/>
        <w:suppressLineNumbers w:val="0"/>
        <w:ind w:firstLine="480" w:firstLineChars="200"/>
        <w:jc w:val="left"/>
      </w:pPr>
      <w:r>
        <w:rPr>
          <w:rFonts w:hint="eastAsia"/>
          <w:sz w:val="24"/>
          <w:szCs w:val="24"/>
          <w:lang w:val="en-US" w:eastAsia="zh-CN"/>
        </w:rPr>
        <w:t>（2）精准医学中心</w:t>
      </w:r>
    </w:p>
    <w:p>
      <w:pPr>
        <w:bidi w:val="0"/>
        <w:spacing w:line="360" w:lineRule="auto"/>
        <w:ind w:firstLine="480" w:firstLineChars="200"/>
        <w:rPr>
          <w:rFonts w:hint="eastAsia"/>
          <w:sz w:val="24"/>
          <w:szCs w:val="24"/>
          <w:lang w:val="en-US" w:eastAsia="zh-CN"/>
        </w:rPr>
      </w:pPr>
      <w:r>
        <w:rPr>
          <w:rFonts w:hint="eastAsia"/>
          <w:sz w:val="24"/>
          <w:szCs w:val="24"/>
          <w:lang w:val="en-US" w:eastAsia="zh-CN"/>
        </w:rPr>
        <w:t>迪安诊断精准医学中心以基因组学、代谢组学、蛋白组学等多组学技术平台力量为支撑，结合生物样本库、医学大数据平台资源优势，提供平台建设、运营服务、科研转化等实验室整体解决方案，有效提升医院精准诊断技术，助力精准医学在临床及科研上的应用，以造福人民群众。</w:t>
      </w:r>
    </w:p>
    <w:p>
      <w:pPr>
        <w:bidi w:val="0"/>
        <w:spacing w:line="360" w:lineRule="auto"/>
        <w:jc w:val="center"/>
        <w:rPr>
          <w:rFonts w:hint="eastAsia"/>
          <w:sz w:val="24"/>
          <w:szCs w:val="24"/>
          <w:lang w:val="en-US" w:eastAsia="zh-CN"/>
        </w:rPr>
      </w:pPr>
      <w:r>
        <w:rPr>
          <w:rFonts w:hint="eastAsia"/>
          <w:sz w:val="24"/>
          <w:szCs w:val="24"/>
          <w:lang w:val="en-US" w:eastAsia="zh-CN"/>
        </w:rPr>
        <w:drawing>
          <wp:inline distT="0" distB="0" distL="114300" distR="114300">
            <wp:extent cx="2844800" cy="4006850"/>
            <wp:effectExtent l="0" t="0" r="0" b="6350"/>
            <wp:docPr id="2" name="图片 2" descr="170002301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023015749"/>
                    <pic:cNvPicPr>
                      <a:picLocks noChangeAspect="1"/>
                    </pic:cNvPicPr>
                  </pic:nvPicPr>
                  <pic:blipFill>
                    <a:blip r:embed="rId5"/>
                    <a:stretch>
                      <a:fillRect/>
                    </a:stretch>
                  </pic:blipFill>
                  <pic:spPr>
                    <a:xfrm>
                      <a:off x="0" y="0"/>
                      <a:ext cx="2844800" cy="4006850"/>
                    </a:xfrm>
                    <a:prstGeom prst="rect">
                      <a:avLst/>
                    </a:prstGeom>
                  </pic:spPr>
                </pic:pic>
              </a:graphicData>
            </a:graphic>
          </wp:inline>
        </w:drawing>
      </w:r>
    </w:p>
    <w:p>
      <w:pPr>
        <w:numPr>
          <w:ilvl w:val="0"/>
          <w:numId w:val="1"/>
        </w:numPr>
        <w:bidi w:val="0"/>
        <w:spacing w:line="360" w:lineRule="auto"/>
        <w:ind w:left="0" w:leftChars="0" w:firstLine="480" w:firstLineChars="200"/>
        <w:rPr>
          <w:rFonts w:hint="eastAsia"/>
          <w:sz w:val="24"/>
          <w:szCs w:val="24"/>
          <w:lang w:val="en-US" w:eastAsia="zh-CN"/>
        </w:rPr>
      </w:pPr>
      <w:r>
        <w:rPr>
          <w:rFonts w:hint="eastAsia"/>
          <w:sz w:val="24"/>
          <w:szCs w:val="24"/>
          <w:lang w:val="en-US" w:eastAsia="zh-CN"/>
        </w:rPr>
        <w:t>自研产品</w:t>
      </w:r>
    </w:p>
    <w:p>
      <w:pPr>
        <w:numPr>
          <w:ilvl w:val="0"/>
          <w:numId w:val="0"/>
        </w:numPr>
        <w:bidi w:val="0"/>
        <w:spacing w:line="360" w:lineRule="auto"/>
        <w:ind w:firstLine="480" w:firstLineChars="200"/>
        <w:rPr>
          <w:rFonts w:hint="default"/>
          <w:sz w:val="24"/>
          <w:szCs w:val="24"/>
          <w:lang w:val="en-US" w:eastAsia="zh-CN"/>
        </w:rPr>
      </w:pPr>
      <w:r>
        <w:rPr>
          <w:rFonts w:hint="eastAsia"/>
          <w:sz w:val="24"/>
          <w:szCs w:val="24"/>
          <w:lang w:val="en-US" w:eastAsia="zh-CN"/>
        </w:rPr>
        <w:t>公司致力提供医学诊断整体化解决方案，以“产品+服务”双轮驱动为支撑，</w:t>
      </w:r>
      <w:r>
        <w:rPr>
          <w:rFonts w:hint="default"/>
          <w:sz w:val="24"/>
          <w:szCs w:val="24"/>
          <w:lang w:val="en-US" w:eastAsia="zh-CN"/>
        </w:rPr>
        <w:t>自研产品业务正在引领公司升级发展。“迪安生物”已形成分子诊断、病理诊断、 POCT三大产品转化平台，“凯莱谱”和“迪谱诊断”在行业标准制定、产品创新和解决方案上继续领跑。</w:t>
      </w:r>
    </w:p>
    <w:p>
      <w:pPr>
        <w:numPr>
          <w:ilvl w:val="0"/>
          <w:numId w:val="2"/>
        </w:numPr>
        <w:bidi w:val="0"/>
        <w:spacing w:line="360" w:lineRule="auto"/>
        <w:ind w:firstLine="480" w:firstLineChars="200"/>
        <w:rPr>
          <w:rFonts w:hint="eastAsia"/>
          <w:sz w:val="24"/>
          <w:szCs w:val="24"/>
          <w:lang w:val="en-US" w:eastAsia="zh-CN"/>
        </w:rPr>
      </w:pPr>
      <w:r>
        <w:rPr>
          <w:rFonts w:hint="eastAsia"/>
          <w:sz w:val="24"/>
          <w:szCs w:val="24"/>
          <w:lang w:val="en-US" w:eastAsia="zh-CN"/>
        </w:rPr>
        <w:t>迪安生物</w:t>
      </w:r>
    </w:p>
    <w:p>
      <w:pPr>
        <w:bidi w:val="0"/>
        <w:spacing w:line="360" w:lineRule="auto"/>
        <w:ind w:firstLine="480" w:firstLineChars="200"/>
        <w:jc w:val="both"/>
        <w:rPr>
          <w:rFonts w:hint="eastAsia"/>
          <w:sz w:val="24"/>
          <w:szCs w:val="24"/>
          <w:lang w:val="en-US" w:eastAsia="zh-CN"/>
        </w:rPr>
      </w:pPr>
      <w:r>
        <w:rPr>
          <w:rFonts w:hint="eastAsia"/>
          <w:sz w:val="24"/>
          <w:szCs w:val="24"/>
          <w:lang w:val="en-US" w:eastAsia="zh-CN"/>
        </w:rPr>
        <w:t>杭州迪安生物技术有限公司（简称“迪安生物”）为迪安诊断控股子公司，2014年成立于杭州未来科技城（海创园）。公司致力于体外诊断设备新冠自动化、规模化快速检测全场景解决方案新冠检测全流程产品提供者宫颈癌“筛查闭环”整体解决方案细胞学TCT+HPV检测，AI赋能联合筛查及相关试剂、耗材的自主研发、生产和销售，目前已形成分子诊断、病理诊断和POCT三大产品转化平台。</w:t>
      </w:r>
    </w:p>
    <w:p>
      <w:pPr>
        <w:bidi w:val="0"/>
        <w:spacing w:line="360" w:lineRule="auto"/>
        <w:jc w:val="center"/>
        <w:rPr>
          <w:rFonts w:hint="eastAsia"/>
          <w:sz w:val="24"/>
          <w:szCs w:val="24"/>
          <w:lang w:val="en-US" w:eastAsia="zh-CN"/>
        </w:rPr>
      </w:pPr>
      <w:r>
        <w:rPr>
          <w:rFonts w:hint="eastAsia"/>
          <w:sz w:val="24"/>
          <w:szCs w:val="24"/>
          <w:lang w:val="en-US" w:eastAsia="zh-CN"/>
        </w:rPr>
        <w:drawing>
          <wp:inline distT="0" distB="0" distL="114300" distR="114300">
            <wp:extent cx="5050790" cy="2514600"/>
            <wp:effectExtent l="0" t="0" r="3810" b="0"/>
            <wp:docPr id="3" name="图片 3" descr="170002325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00023256281"/>
                    <pic:cNvPicPr>
                      <a:picLocks noChangeAspect="1"/>
                    </pic:cNvPicPr>
                  </pic:nvPicPr>
                  <pic:blipFill>
                    <a:blip r:embed="rId6"/>
                    <a:stretch>
                      <a:fillRect/>
                    </a:stretch>
                  </pic:blipFill>
                  <pic:spPr>
                    <a:xfrm>
                      <a:off x="0" y="0"/>
                      <a:ext cx="5050790" cy="2514600"/>
                    </a:xfrm>
                    <a:prstGeom prst="rect">
                      <a:avLst/>
                    </a:prstGeom>
                  </pic:spPr>
                </pic:pic>
              </a:graphicData>
            </a:graphic>
          </wp:inline>
        </w:drawing>
      </w:r>
    </w:p>
    <w:p>
      <w:pPr>
        <w:numPr>
          <w:ilvl w:val="0"/>
          <w:numId w:val="2"/>
        </w:numPr>
        <w:bidi w:val="0"/>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凯莱谱精准医疗</w:t>
      </w:r>
    </w:p>
    <w:p>
      <w:pPr>
        <w:numPr>
          <w:ilvl w:val="0"/>
          <w:numId w:val="0"/>
        </w:numPr>
        <w:bidi w:val="0"/>
        <w:spacing w:line="360" w:lineRule="auto"/>
        <w:ind w:firstLine="480" w:firstLineChars="200"/>
        <w:jc w:val="both"/>
        <w:rPr>
          <w:rFonts w:hint="eastAsia"/>
          <w:sz w:val="24"/>
          <w:szCs w:val="24"/>
          <w:lang w:val="en-US" w:eastAsia="zh-CN"/>
        </w:rPr>
      </w:pPr>
      <w:r>
        <w:rPr>
          <w:rFonts w:hint="eastAsia"/>
          <w:sz w:val="24"/>
          <w:szCs w:val="24"/>
          <w:lang w:val="en-US" w:eastAsia="zh-CN"/>
        </w:rPr>
        <w:t>杭州凯莱谱精准医疗检测技术有限公司，以创新质谱应用为核心技术，致力于多组学数据驱动产品创新战略。公司业务重点围绕临床诊断、多组学研究、生物标志物发现和转化三大应用方向，将多组学数据研发转化、临床质谱试剂与仪器自主研发生产及中心实验室服务等多种业务模式融合创新，推动多组学技术在中国临床精准诊疗领域的应用。</w:t>
      </w:r>
    </w:p>
    <w:p>
      <w:pPr>
        <w:numPr>
          <w:ilvl w:val="0"/>
          <w:numId w:val="0"/>
        </w:numPr>
        <w:bidi w:val="0"/>
        <w:spacing w:line="360" w:lineRule="auto"/>
        <w:jc w:val="both"/>
        <w:rPr>
          <w:rFonts w:hint="eastAsia"/>
          <w:sz w:val="24"/>
          <w:szCs w:val="24"/>
          <w:lang w:val="en-US" w:eastAsia="zh-CN"/>
        </w:rPr>
      </w:pPr>
      <w:r>
        <w:rPr>
          <w:rFonts w:hint="eastAsia"/>
          <w:sz w:val="24"/>
          <w:szCs w:val="24"/>
          <w:lang w:val="en-US" w:eastAsia="zh-CN"/>
        </w:rPr>
        <w:drawing>
          <wp:inline distT="0" distB="0" distL="114300" distR="114300">
            <wp:extent cx="5325745" cy="1555115"/>
            <wp:effectExtent l="0" t="0" r="8255" b="6985"/>
            <wp:docPr id="4" name="图片 4" descr="170002334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0023348498"/>
                    <pic:cNvPicPr>
                      <a:picLocks noChangeAspect="1"/>
                    </pic:cNvPicPr>
                  </pic:nvPicPr>
                  <pic:blipFill>
                    <a:blip r:embed="rId7"/>
                    <a:stretch>
                      <a:fillRect/>
                    </a:stretch>
                  </pic:blipFill>
                  <pic:spPr>
                    <a:xfrm>
                      <a:off x="0" y="0"/>
                      <a:ext cx="5325745" cy="1555115"/>
                    </a:xfrm>
                    <a:prstGeom prst="rect">
                      <a:avLst/>
                    </a:prstGeom>
                  </pic:spPr>
                </pic:pic>
              </a:graphicData>
            </a:graphic>
          </wp:inline>
        </w:drawing>
      </w:r>
    </w:p>
    <w:p>
      <w:pPr>
        <w:numPr>
          <w:ilvl w:val="0"/>
          <w:numId w:val="2"/>
        </w:numPr>
        <w:bidi w:val="0"/>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迪谱诊断</w:t>
      </w:r>
    </w:p>
    <w:p>
      <w:pPr>
        <w:numPr>
          <w:ilvl w:val="0"/>
          <w:numId w:val="0"/>
        </w:numPr>
        <w:bidi w:val="0"/>
        <w:spacing w:line="360" w:lineRule="auto"/>
        <w:ind w:firstLine="480" w:firstLineChars="200"/>
        <w:jc w:val="both"/>
        <w:rPr>
          <w:rFonts w:hint="eastAsia"/>
          <w:sz w:val="24"/>
          <w:szCs w:val="24"/>
          <w:lang w:val="en-US" w:eastAsia="zh-CN"/>
        </w:rPr>
      </w:pPr>
      <w:r>
        <w:rPr>
          <w:rFonts w:hint="eastAsia"/>
          <w:sz w:val="24"/>
          <w:szCs w:val="24"/>
          <w:lang w:val="en-US" w:eastAsia="zh-CN"/>
        </w:rPr>
        <w:t>浙江迪谱诊断技术有限公司，以创新型诊断技术服务于生命健康领域，致力于实现高端分子诊断设备及其创新型诊断试剂盒的研发生产、NMPA注册与临床应用，开发与建立遗传病、药物基因组学、肿瘤、传染病、健康管理等领域的专家联盟，推动高端基因检测技术应用标准、临床应用共识及指南的制定。</w:t>
      </w:r>
    </w:p>
    <w:p>
      <w:pPr>
        <w:numPr>
          <w:ilvl w:val="0"/>
          <w:numId w:val="0"/>
        </w:numPr>
        <w:bidi w:val="0"/>
        <w:spacing w:line="360" w:lineRule="auto"/>
        <w:jc w:val="both"/>
        <w:rPr>
          <w:rFonts w:hint="default"/>
          <w:sz w:val="24"/>
          <w:szCs w:val="24"/>
          <w:lang w:val="en-US" w:eastAsia="zh-CN"/>
        </w:rPr>
      </w:pPr>
      <w:r>
        <w:rPr>
          <w:rFonts w:hint="default"/>
          <w:sz w:val="24"/>
          <w:szCs w:val="24"/>
          <w:lang w:val="en-US" w:eastAsia="zh-CN"/>
        </w:rPr>
        <w:drawing>
          <wp:inline distT="0" distB="0" distL="114300" distR="114300">
            <wp:extent cx="5207635" cy="2825750"/>
            <wp:effectExtent l="0" t="0" r="12065" b="6350"/>
            <wp:docPr id="5" name="图片 5" descr="170002342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0023421893"/>
                    <pic:cNvPicPr>
                      <a:picLocks noChangeAspect="1"/>
                    </pic:cNvPicPr>
                  </pic:nvPicPr>
                  <pic:blipFill>
                    <a:blip r:embed="rId8"/>
                    <a:stretch>
                      <a:fillRect/>
                    </a:stretch>
                  </pic:blipFill>
                  <pic:spPr>
                    <a:xfrm>
                      <a:off x="0" y="0"/>
                      <a:ext cx="5207635" cy="2825750"/>
                    </a:xfrm>
                    <a:prstGeom prst="rect">
                      <a:avLst/>
                    </a:prstGeom>
                  </pic:spPr>
                </pic:pic>
              </a:graphicData>
            </a:graphic>
          </wp:inline>
        </w:drawing>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E9BED"/>
    <w:multiLevelType w:val="singleLevel"/>
    <w:tmpl w:val="C1CE9BED"/>
    <w:lvl w:ilvl="0" w:tentative="0">
      <w:start w:val="1"/>
      <w:numFmt w:val="chineseCounting"/>
      <w:suff w:val="nothing"/>
      <w:lvlText w:val="%1、"/>
      <w:lvlJc w:val="left"/>
      <w:rPr>
        <w:rFonts w:hint="eastAsia"/>
      </w:rPr>
    </w:lvl>
  </w:abstractNum>
  <w:abstractNum w:abstractNumId="1">
    <w:nsid w:val="DB74CB01"/>
    <w:multiLevelType w:val="singleLevel"/>
    <w:tmpl w:val="DB74CB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NTQ1NWVlMjdkYjQ4NTdmM2U2MmU1NTRhZGFjOTcifQ=="/>
  </w:docVars>
  <w:rsids>
    <w:rsidRoot w:val="23EE3BD7"/>
    <w:rsid w:val="1A3F53E4"/>
    <w:rsid w:val="1AC11F06"/>
    <w:rsid w:val="23EE3BD7"/>
    <w:rsid w:val="31C3435E"/>
    <w:rsid w:val="672755CB"/>
    <w:rsid w:val="9E3890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66</TotalTime>
  <ScaleCrop>false</ScaleCrop>
  <LinksUpToDate>false</LinksUpToDate>
  <CharactersWithSpaces>0</CharactersWithSpaces>
  <Application>WPS Office WWO_wpscloud_20231109212122-49d8d70993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2023-11-15T10:59:00Z</dcterms:created>
  <dc:creator>WPS_1635390744</dc:creator>
  <cp:lastModifiedBy>WPS_1635390744</cp:lastModifiedBy>
  <dcterms:modified xsi:type="dcterms:W3CDTF">2023-11-15T17:46:56Z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C4EA86A369924D9285F41F5A0995F89B_11</vt:lpwstr>
  </property>
</Properties>
</file>