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b/>
          <w:bCs/>
          <w:color w:val="0000FF"/>
          <w:sz w:val="32"/>
          <w:szCs w:val="40"/>
          <w:lang w:val="en-US" w:eastAsia="zh-CN"/>
        </w:rPr>
      </w:pPr>
      <w:r>
        <w:rPr>
          <w:rFonts w:hint="eastAsia"/>
          <w:b/>
          <w:bCs/>
          <w:color w:val="0000FF"/>
          <w:sz w:val="32"/>
          <w:szCs w:val="40"/>
          <w:lang w:val="en-US" w:eastAsia="zh-CN"/>
        </w:rPr>
        <w:t>麦特绘谱生物科技（上海）有限公司公司简介</w:t>
      </w:r>
    </w:p>
    <w:p>
      <w:pPr>
        <w:spacing w:line="360" w:lineRule="auto"/>
        <w:rPr>
          <w:rFonts w:hint="eastAsia"/>
          <w:sz w:val="24"/>
          <w:szCs w:val="32"/>
        </w:rPr>
      </w:pPr>
      <w:r>
        <w:rPr>
          <w:rFonts w:hint="eastAsia"/>
          <w:sz w:val="24"/>
          <w:szCs w:val="32"/>
        </w:rPr>
        <w:t>麦特绘谱</w:t>
      </w:r>
      <w:r>
        <w:rPr>
          <w:rFonts w:hint="eastAsia"/>
          <w:sz w:val="24"/>
          <w:szCs w:val="32"/>
          <w:lang w:val="en-US" w:eastAsia="zh-CN"/>
        </w:rPr>
        <w:t>生物科技（上海）有限公司（以下简称“麦特绘谱”）</w:t>
      </w:r>
      <w:r>
        <w:rPr>
          <w:rFonts w:hint="eastAsia"/>
          <w:sz w:val="24"/>
          <w:szCs w:val="32"/>
        </w:rPr>
        <w:t>以贾伟教授为核心，汇聚了转化医学研究二十余年的海内外专家团队，长期致力于基于质谱技术的科研服务、体外诊断试剂、医学检验和大健康领域，先后被评为高新技术企业和上海市”专精特新“企业，研究团队已在众多高影响力期刊发表</w:t>
      </w:r>
      <w:r>
        <w:rPr>
          <w:rFonts w:hint="eastAsia"/>
          <w:sz w:val="24"/>
          <w:szCs w:val="32"/>
          <w:lang w:val="en-US" w:eastAsia="zh-CN"/>
        </w:rPr>
        <w:t>5</w:t>
      </w:r>
      <w:r>
        <w:rPr>
          <w:rFonts w:hint="eastAsia"/>
          <w:sz w:val="24"/>
          <w:szCs w:val="32"/>
        </w:rPr>
        <w:t>00+篇SCI文章</w:t>
      </w:r>
      <w:r>
        <w:rPr>
          <w:rFonts w:hint="eastAsia"/>
          <w:sz w:val="24"/>
          <w:szCs w:val="32"/>
          <w:lang w:eastAsia="zh-CN"/>
        </w:rPr>
        <w:t>，总引用数超过37000</w:t>
      </w:r>
      <w:r>
        <w:rPr>
          <w:rFonts w:hint="eastAsia"/>
          <w:sz w:val="24"/>
          <w:szCs w:val="32"/>
        </w:rPr>
        <w:t>。基于多年</w:t>
      </w:r>
      <w:bookmarkStart w:id="0" w:name="_GoBack"/>
      <w:bookmarkEnd w:id="0"/>
      <w:r>
        <w:rPr>
          <w:rFonts w:hint="eastAsia"/>
          <w:sz w:val="24"/>
          <w:szCs w:val="32"/>
        </w:rPr>
        <w:t>的研究积累与技术转化，麦特绘谱已建立独有的稳定、准确、可靠的方法体系，拥有成熟的代谢组学检测平台，以全定量靶向代谢组学技术为核心，包括全球独有技术Q1000，Q500、Q300、Q200和各类小分子代谢物单独检测方法共</w:t>
      </w:r>
      <w:r>
        <w:rPr>
          <w:rFonts w:hint="eastAsia"/>
          <w:sz w:val="24"/>
          <w:szCs w:val="32"/>
          <w:lang w:val="en-US" w:eastAsia="zh-CN"/>
        </w:rPr>
        <w:t>3</w:t>
      </w:r>
      <w:r>
        <w:rPr>
          <w:rFonts w:hint="eastAsia"/>
          <w:sz w:val="24"/>
          <w:szCs w:val="32"/>
        </w:rPr>
        <w:t>0+系列，兼顾非靶和</w:t>
      </w:r>
      <w:r>
        <w:rPr>
          <w:rFonts w:hint="eastAsia"/>
          <w:sz w:val="24"/>
          <w:szCs w:val="32"/>
          <w:lang w:val="en-US" w:eastAsia="zh-CN"/>
        </w:rPr>
        <w:t>代谢流</w:t>
      </w:r>
      <w:r>
        <w:rPr>
          <w:rFonts w:hint="eastAsia"/>
          <w:sz w:val="24"/>
          <w:szCs w:val="32"/>
        </w:rPr>
        <w:t>。同时还有菌群16S测序、宏基因组学、转录组学和蛋白质组学等多组学及联合分析等全套解决方案。</w:t>
      </w:r>
    </w:p>
    <w:p>
      <w:pPr>
        <w:spacing w:line="360" w:lineRule="auto"/>
        <w:rPr>
          <w:rFonts w:hint="eastAsia"/>
          <w:sz w:val="24"/>
          <w:szCs w:val="32"/>
        </w:rPr>
      </w:pPr>
    </w:p>
    <w:p>
      <w:pPr>
        <w:spacing w:line="360" w:lineRule="auto"/>
        <w:rPr>
          <w:rFonts w:hint="eastAsia"/>
          <w:sz w:val="24"/>
          <w:szCs w:val="32"/>
        </w:rPr>
      </w:pPr>
      <w:r>
        <w:rPr>
          <w:rFonts w:hint="eastAsia"/>
          <w:sz w:val="24"/>
          <w:szCs w:val="32"/>
          <w:lang w:val="en-US" w:eastAsia="zh-CN"/>
        </w:rPr>
        <w:t>已</w:t>
      </w:r>
      <w:r>
        <w:rPr>
          <w:rFonts w:hint="eastAsia"/>
          <w:sz w:val="24"/>
          <w:szCs w:val="32"/>
        </w:rPr>
        <w:t>为</w:t>
      </w:r>
      <w:r>
        <w:rPr>
          <w:rFonts w:hint="eastAsia"/>
          <w:sz w:val="24"/>
          <w:szCs w:val="32"/>
          <w:lang w:val="en-US" w:eastAsia="zh-CN"/>
        </w:rPr>
        <w:t>上千</w:t>
      </w:r>
      <w:r>
        <w:rPr>
          <w:rFonts w:hint="eastAsia"/>
          <w:sz w:val="24"/>
          <w:szCs w:val="32"/>
        </w:rPr>
        <w:t>家三甲医院、</w:t>
      </w:r>
      <w:r>
        <w:rPr>
          <w:rFonts w:hint="eastAsia"/>
          <w:sz w:val="24"/>
          <w:szCs w:val="32"/>
          <w:lang w:val="en-US" w:eastAsia="zh-CN"/>
        </w:rPr>
        <w:t>高校、</w:t>
      </w:r>
      <w:r>
        <w:rPr>
          <w:rFonts w:hint="eastAsia"/>
          <w:sz w:val="24"/>
          <w:szCs w:val="32"/>
        </w:rPr>
        <w:t>科研院所和企业提供高端、定制化的代谢组学及多组学一站式整体解决方案，协助客户与合作伙伴发表SCI文章300+篇，累计影响因子3000+，包括Nature, Science, Cell Host &amp; Microbe, Cell Metabolism, Immunity, Gut, Nature</w:t>
      </w:r>
      <w:r>
        <w:rPr>
          <w:rFonts w:hint="eastAsia"/>
          <w:sz w:val="24"/>
          <w:szCs w:val="32"/>
          <w:lang w:val="en-US" w:eastAsia="zh-CN"/>
        </w:rPr>
        <w:t xml:space="preserve"> </w:t>
      </w:r>
      <w:r>
        <w:rPr>
          <w:rFonts w:hint="eastAsia"/>
          <w:sz w:val="24"/>
          <w:szCs w:val="32"/>
        </w:rPr>
        <w:t>Metabolism</w:t>
      </w:r>
      <w:r>
        <w:rPr>
          <w:rFonts w:hint="eastAsia"/>
          <w:sz w:val="24"/>
          <w:szCs w:val="32"/>
          <w:lang w:val="en-US" w:eastAsia="zh-CN"/>
        </w:rPr>
        <w:t xml:space="preserve">, </w:t>
      </w:r>
      <w:r>
        <w:rPr>
          <w:rFonts w:hint="eastAsia"/>
          <w:sz w:val="24"/>
          <w:szCs w:val="32"/>
        </w:rPr>
        <w:t>Hepatology, Microbiome, Advanced Science, Nature Communications等高影响力期刊</w:t>
      </w:r>
      <w:r>
        <w:rPr>
          <w:rFonts w:hint="eastAsia"/>
          <w:sz w:val="24"/>
          <w:szCs w:val="32"/>
          <w:lang w:eastAsia="zh-CN"/>
        </w:rPr>
        <w:t>，</w:t>
      </w:r>
      <w:r>
        <w:rPr>
          <w:rFonts w:hint="eastAsia"/>
          <w:sz w:val="24"/>
          <w:szCs w:val="32"/>
        </w:rPr>
        <w:t>涵盖</w:t>
      </w:r>
      <w:r>
        <w:rPr>
          <w:rFonts w:hint="eastAsia"/>
          <w:sz w:val="24"/>
          <w:szCs w:val="32"/>
          <w:lang w:val="en-US" w:eastAsia="zh-CN"/>
        </w:rPr>
        <w:t>各类疾病如肿瘤/</w:t>
      </w:r>
      <w:r>
        <w:rPr>
          <w:rFonts w:hint="eastAsia"/>
          <w:sz w:val="24"/>
          <w:szCs w:val="32"/>
        </w:rPr>
        <w:t>癌症</w:t>
      </w:r>
      <w:r>
        <w:rPr>
          <w:rFonts w:hint="eastAsia"/>
          <w:sz w:val="24"/>
          <w:szCs w:val="32"/>
          <w:lang w:val="en-US" w:eastAsia="zh-CN"/>
        </w:rPr>
        <w:t>、内分泌疾病、心血管疾病、消化道疾病、免疫性疾病、神经系统疾病以及营养功能、环境毒理、中医中药等众多</w:t>
      </w:r>
      <w:r>
        <w:rPr>
          <w:rFonts w:hint="eastAsia"/>
          <w:sz w:val="24"/>
          <w:szCs w:val="32"/>
        </w:rPr>
        <w:t>研究领域。</w:t>
      </w:r>
    </w:p>
    <w:p>
      <w:pPr>
        <w:spacing w:line="360" w:lineRule="auto"/>
        <w:rPr>
          <w:rFonts w:hint="eastAsia"/>
          <w:sz w:val="24"/>
          <w:szCs w:val="32"/>
        </w:rPr>
      </w:pPr>
    </w:p>
    <w:p>
      <w:pPr>
        <w:spacing w:line="360" w:lineRule="auto"/>
        <w:rPr>
          <w:rFonts w:hint="eastAsia"/>
          <w:sz w:val="24"/>
          <w:szCs w:val="32"/>
        </w:rPr>
      </w:pPr>
      <w:r>
        <w:rPr>
          <w:rFonts w:hint="eastAsia"/>
          <w:sz w:val="24"/>
          <w:szCs w:val="32"/>
        </w:rPr>
        <w:t>并成功开发世界上首个全自动高通量的定量代谢组临床质谱检测平台，积累并创建了超过2000种内源性代谢物标准品库，建立了全球首个、数据量</w:t>
      </w:r>
      <w:r>
        <w:rPr>
          <w:rFonts w:hint="eastAsia"/>
          <w:sz w:val="24"/>
          <w:szCs w:val="32"/>
          <w:lang w:val="en-US" w:eastAsia="zh-CN"/>
        </w:rPr>
        <w:t>超</w:t>
      </w:r>
      <w:r>
        <w:rPr>
          <w:rFonts w:hint="eastAsia"/>
          <w:sz w:val="24"/>
          <w:szCs w:val="32"/>
        </w:rPr>
        <w:t>40万人份的临床表型组学数据库，在肥胖、糖尿病等代谢性疾病，慢性肝病、结直肠癌、胃癌等消化道疾病，新生儿先天性胆道闭锁，阿尔茨海默病，抑郁症等代谢组学研究上取得众多突破，为疾病早筛、病情监控和新药开发提供了新技术、新方法。</w:t>
      </w:r>
    </w:p>
    <w:p>
      <w:pPr>
        <w:spacing w:line="360" w:lineRule="auto"/>
        <w:rPr>
          <w:rFonts w:hint="eastAsia"/>
          <w:sz w:val="24"/>
          <w:szCs w:val="32"/>
          <w:lang w:val="en-US" w:eastAsia="zh-CN"/>
        </w:rPr>
      </w:pPr>
      <w:r>
        <w:rPr>
          <w:rFonts w:hint="eastAsia"/>
          <w:sz w:val="24"/>
          <w:szCs w:val="32"/>
        </w:rPr>
        <w:t>麦特绘谱以创新技术研发为核心，着力创建中国专业度最高的代谢组学技术平台，</w:t>
      </w:r>
      <w:r>
        <w:rPr>
          <w:rFonts w:hint="eastAsia"/>
          <w:sz w:val="24"/>
          <w:szCs w:val="32"/>
          <w:lang w:val="en-US" w:eastAsia="zh-CN"/>
        </w:rPr>
        <w:t>母公司绘云生物</w:t>
      </w:r>
      <w:r>
        <w:rPr>
          <w:rFonts w:hint="eastAsia"/>
          <w:sz w:val="24"/>
          <w:szCs w:val="32"/>
        </w:rPr>
        <w:t>拥有一系列自主知识产权的体外诊断试剂和AI智能辅助诊断软件，</w:t>
      </w:r>
      <w:r>
        <w:rPr>
          <w:rFonts w:hint="eastAsia"/>
          <w:sz w:val="24"/>
          <w:szCs w:val="32"/>
          <w:lang w:val="en-US" w:eastAsia="zh-CN"/>
        </w:rPr>
        <w:t>旗下临床产品已有51个获得中国国家药监局一类证，有8个获得二类证。</w:t>
      </w:r>
    </w:p>
    <w:p>
      <w:pPr>
        <w:spacing w:line="360" w:lineRule="auto"/>
        <w:rPr>
          <w:rFonts w:hint="eastAsia"/>
          <w:sz w:val="24"/>
          <w:szCs w:val="32"/>
          <w:lang w:val="en-US" w:eastAsia="zh-CN"/>
        </w:rPr>
      </w:pPr>
      <w:r>
        <w:rPr>
          <w:rFonts w:hint="eastAsia"/>
          <w:sz w:val="24"/>
          <w:szCs w:val="32"/>
          <w:lang w:val="en-US" w:eastAsia="zh-CN"/>
        </w:rPr>
        <w:drawing>
          <wp:inline distT="0" distB="0" distL="114300" distR="114300">
            <wp:extent cx="4635500" cy="1892300"/>
            <wp:effectExtent l="0" t="0" r="3175" b="3175"/>
            <wp:docPr id="1" name="图片 1" descr="【麦特绘谱】全产品服务一览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麦特绘谱】全产品服务一览_页面_2"/>
                    <pic:cNvPicPr>
                      <a:picLocks noChangeAspect="1"/>
                    </pic:cNvPicPr>
                  </pic:nvPicPr>
                  <pic:blipFill>
                    <a:blip r:embed="rId5"/>
                    <a:srcRect l="6978" t="53028" r="7134" b="21142"/>
                    <a:stretch>
                      <a:fillRect/>
                    </a:stretch>
                  </pic:blipFill>
                  <pic:spPr>
                    <a:xfrm>
                      <a:off x="0" y="0"/>
                      <a:ext cx="4635500" cy="1892300"/>
                    </a:xfrm>
                    <a:prstGeom prst="rect">
                      <a:avLst/>
                    </a:prstGeom>
                  </pic:spPr>
                </pic:pic>
              </a:graphicData>
            </a:graphic>
          </wp:inline>
        </w:drawing>
      </w:r>
    </w:p>
    <w:p>
      <w:pPr>
        <w:spacing w:line="360" w:lineRule="auto"/>
        <w:rPr>
          <w:rFonts w:hint="eastAsia"/>
          <w:b/>
          <w:bCs/>
          <w:sz w:val="28"/>
          <w:szCs w:val="36"/>
          <w:lang w:val="en-US" w:eastAsia="zh-CN"/>
        </w:rPr>
      </w:pPr>
    </w:p>
    <w:p>
      <w:pPr>
        <w:spacing w:line="360" w:lineRule="auto"/>
        <w:rPr>
          <w:rFonts w:hint="eastAsia"/>
          <w:b/>
          <w:bCs/>
          <w:color w:val="0000FF"/>
          <w:sz w:val="32"/>
          <w:szCs w:val="40"/>
          <w:lang w:val="en-US" w:eastAsia="zh-CN"/>
        </w:rPr>
      </w:pPr>
      <w:r>
        <w:rPr>
          <w:rFonts w:hint="eastAsia"/>
          <w:b/>
          <w:bCs/>
          <w:color w:val="0000FF"/>
          <w:sz w:val="32"/>
          <w:szCs w:val="40"/>
          <w:lang w:val="en-US" w:eastAsia="zh-CN"/>
        </w:rPr>
        <w:t>产品介绍</w:t>
      </w:r>
    </w:p>
    <w:p>
      <w:pPr>
        <w:numPr>
          <w:ilvl w:val="0"/>
          <w:numId w:val="1"/>
        </w:numPr>
        <w:spacing w:line="360" w:lineRule="auto"/>
        <w:rPr>
          <w:rFonts w:hint="default"/>
          <w:b/>
          <w:bCs/>
          <w:sz w:val="28"/>
          <w:szCs w:val="36"/>
          <w:lang w:val="en-US" w:eastAsia="zh-CN"/>
        </w:rPr>
      </w:pPr>
      <w:r>
        <w:rPr>
          <w:rFonts w:hint="default"/>
          <w:b/>
          <w:bCs/>
          <w:sz w:val="28"/>
          <w:szCs w:val="36"/>
          <w:lang w:val="en-US" w:eastAsia="zh-CN"/>
        </w:rPr>
        <w:t>全定量功能代谢组</w:t>
      </w:r>
    </w:p>
    <w:p>
      <w:pPr>
        <w:spacing w:line="360" w:lineRule="auto"/>
        <w:rPr>
          <w:rFonts w:hint="default"/>
          <w:sz w:val="24"/>
          <w:szCs w:val="32"/>
          <w:lang w:val="en-US" w:eastAsia="zh-CN"/>
        </w:rPr>
      </w:pPr>
      <w:r>
        <w:rPr>
          <w:rFonts w:hint="eastAsia"/>
          <w:sz w:val="24"/>
          <w:szCs w:val="32"/>
          <w:lang w:val="en-US" w:eastAsia="zh-CN"/>
        </w:rPr>
        <w:t xml:space="preserve">1.1 </w:t>
      </w:r>
      <w:r>
        <w:rPr>
          <w:rFonts w:hint="default"/>
          <w:sz w:val="24"/>
          <w:szCs w:val="32"/>
          <w:lang w:val="en-US" w:eastAsia="zh-CN"/>
        </w:rPr>
        <w:t>Q300全定量代谢芯片</w:t>
      </w:r>
    </w:p>
    <w:p>
      <w:pPr>
        <w:numPr>
          <w:ilvl w:val="0"/>
          <w:numId w:val="2"/>
        </w:numPr>
        <w:spacing w:line="360" w:lineRule="auto"/>
        <w:ind w:left="420" w:leftChars="0" w:hanging="420" w:firstLineChars="0"/>
        <w:rPr>
          <w:rFonts w:hint="default"/>
          <w:sz w:val="24"/>
          <w:szCs w:val="32"/>
          <w:lang w:val="en-US" w:eastAsia="zh-CN"/>
        </w:rPr>
      </w:pPr>
      <w:r>
        <w:rPr>
          <w:rFonts w:hint="default"/>
          <w:sz w:val="24"/>
          <w:szCs w:val="32"/>
          <w:lang w:val="en-US" w:eastAsia="zh-CN"/>
        </w:rPr>
        <w:t>全球首创定量检测生物样本中300+种功能性代谢物绝对浓度的方法</w:t>
      </w:r>
    </w:p>
    <w:p>
      <w:pPr>
        <w:numPr>
          <w:ilvl w:val="0"/>
          <w:numId w:val="2"/>
        </w:numPr>
        <w:spacing w:line="360" w:lineRule="auto"/>
        <w:ind w:left="420" w:leftChars="0" w:hanging="420" w:firstLineChars="0"/>
        <w:rPr>
          <w:rFonts w:hint="default"/>
          <w:sz w:val="24"/>
          <w:szCs w:val="32"/>
          <w:lang w:val="en-US" w:eastAsia="zh-CN"/>
        </w:rPr>
      </w:pPr>
      <w:r>
        <w:rPr>
          <w:rFonts w:hint="default"/>
          <w:sz w:val="24"/>
          <w:szCs w:val="32"/>
          <w:lang w:val="en-US" w:eastAsia="zh-CN"/>
        </w:rPr>
        <w:t>300+种标准品不同线性范围构建随行标准曲线，同位素内标一对一校正</w:t>
      </w:r>
      <w:r>
        <w:rPr>
          <w:rFonts w:hint="eastAsia"/>
          <w:sz w:val="24"/>
          <w:szCs w:val="32"/>
          <w:lang w:val="en-US" w:eastAsia="zh-CN"/>
        </w:rPr>
        <w:t>绝对定量</w:t>
      </w:r>
    </w:p>
    <w:p>
      <w:pPr>
        <w:numPr>
          <w:ilvl w:val="0"/>
          <w:numId w:val="2"/>
        </w:numPr>
        <w:spacing w:line="360" w:lineRule="auto"/>
        <w:ind w:left="420" w:leftChars="0" w:hanging="420" w:firstLineChars="0"/>
        <w:rPr>
          <w:rFonts w:hint="default"/>
          <w:sz w:val="24"/>
          <w:szCs w:val="32"/>
          <w:lang w:val="en-US" w:eastAsia="zh-CN"/>
        </w:rPr>
      </w:pPr>
      <w:r>
        <w:rPr>
          <w:rFonts w:hint="default"/>
          <w:sz w:val="24"/>
          <w:szCs w:val="32"/>
          <w:lang w:val="en-US" w:eastAsia="zh-CN"/>
        </w:rPr>
        <w:t>高通量广覆盖极大满足发现代谢组学视窗</w:t>
      </w:r>
    </w:p>
    <w:p>
      <w:pPr>
        <w:numPr>
          <w:ilvl w:val="0"/>
          <w:numId w:val="2"/>
        </w:numPr>
        <w:spacing w:line="360" w:lineRule="auto"/>
        <w:ind w:left="420" w:leftChars="0" w:hanging="420" w:firstLineChars="0"/>
        <w:rPr>
          <w:rFonts w:hint="default"/>
          <w:sz w:val="24"/>
          <w:szCs w:val="32"/>
          <w:lang w:val="en-US" w:eastAsia="zh-CN"/>
        </w:rPr>
      </w:pPr>
      <w:r>
        <w:rPr>
          <w:rFonts w:hint="default"/>
          <w:sz w:val="24"/>
          <w:szCs w:val="32"/>
          <w:lang w:val="en-US" w:eastAsia="zh-CN"/>
        </w:rPr>
        <w:t>黄金定量标准贯通疾病生物标志物和功能机制研究</w:t>
      </w:r>
    </w:p>
    <w:p>
      <w:pPr>
        <w:numPr>
          <w:ilvl w:val="0"/>
          <w:numId w:val="2"/>
        </w:numPr>
        <w:spacing w:line="360" w:lineRule="auto"/>
        <w:ind w:left="420" w:leftChars="0" w:hanging="420" w:firstLineChars="0"/>
        <w:rPr>
          <w:rFonts w:hint="default"/>
          <w:sz w:val="24"/>
          <w:szCs w:val="32"/>
          <w:lang w:val="en-US" w:eastAsia="zh-CN"/>
        </w:rPr>
      </w:pPr>
      <w:r>
        <w:rPr>
          <w:rFonts w:hint="default"/>
          <w:sz w:val="24"/>
          <w:szCs w:val="32"/>
          <w:lang w:val="en-US" w:eastAsia="zh-CN"/>
        </w:rPr>
        <w:t>10万+例测样经验，超百篇高分SCI合作成果</w:t>
      </w:r>
    </w:p>
    <w:p>
      <w:pPr>
        <w:numPr>
          <w:ilvl w:val="0"/>
          <w:numId w:val="0"/>
        </w:numPr>
        <w:spacing w:line="360" w:lineRule="auto"/>
        <w:ind w:leftChars="0"/>
        <w:rPr>
          <w:rFonts w:hint="default"/>
          <w:sz w:val="24"/>
          <w:szCs w:val="32"/>
          <w:lang w:val="en-US" w:eastAsia="zh-CN"/>
        </w:rPr>
      </w:pPr>
    </w:p>
    <w:p>
      <w:pPr>
        <w:numPr>
          <w:ilvl w:val="0"/>
          <w:numId w:val="0"/>
        </w:numPr>
        <w:spacing w:line="360" w:lineRule="auto"/>
        <w:ind w:leftChars="0"/>
        <w:rPr>
          <w:rFonts w:hint="default"/>
          <w:sz w:val="24"/>
          <w:szCs w:val="32"/>
          <w:lang w:val="en-US" w:eastAsia="zh-CN"/>
        </w:rPr>
      </w:pPr>
      <w:r>
        <w:drawing>
          <wp:inline distT="0" distB="0" distL="114300" distR="114300">
            <wp:extent cx="5272405" cy="1670685"/>
            <wp:effectExtent l="0" t="0" r="444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2405" cy="1670685"/>
                    </a:xfrm>
                    <a:prstGeom prst="rect">
                      <a:avLst/>
                    </a:prstGeom>
                    <a:noFill/>
                    <a:ln>
                      <a:noFill/>
                    </a:ln>
                  </pic:spPr>
                </pic:pic>
              </a:graphicData>
            </a:graphic>
          </wp:inline>
        </w:drawing>
      </w:r>
    </w:p>
    <w:p>
      <w:pPr>
        <w:numPr>
          <w:ilvl w:val="0"/>
          <w:numId w:val="0"/>
        </w:numPr>
        <w:spacing w:line="360" w:lineRule="auto"/>
        <w:ind w:leftChars="0"/>
        <w:rPr>
          <w:rFonts w:hint="default"/>
          <w:sz w:val="24"/>
          <w:szCs w:val="32"/>
          <w:lang w:val="en-US" w:eastAsia="zh-CN"/>
        </w:rPr>
      </w:pP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1.2 Q500全定量代谢谱</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基于业内高度认可的Q300技术，新增200种热门功能代谢物和肠道菌群明星代谢物</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构建500+种标准品不同线性范围构建随行标准曲线，同位素内标一对一校正绝对定量</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超强覆盖，极大满足肠道菌群与功能机制研究领域的探索</w:t>
      </w:r>
    </w:p>
    <w:p>
      <w:pPr>
        <w:numPr>
          <w:ilvl w:val="0"/>
          <w:numId w:val="0"/>
        </w:numPr>
        <w:spacing w:line="360" w:lineRule="auto"/>
        <w:ind w:leftChars="0"/>
        <w:rPr>
          <w:rFonts w:hint="default"/>
          <w:sz w:val="24"/>
          <w:szCs w:val="32"/>
          <w:lang w:val="en-US" w:eastAsia="zh-CN"/>
        </w:rPr>
      </w:pP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1.3 Q1000全定量代谢谱</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基于UPLC-MS/MS平台可同时高通量靶向定量检测1000+种代谢物</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超强覆盖胆汁酸、短链和中长链脂肪酸、TMAO类、吲哚及衍生物等二十余种小分子代谢物类群</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超强覆盖甘油磷脂、鞘脂、甘油脂、胆固醇酯等500+种脂质分子</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广泛覆盖功能性代谢通路、肠道菌群明星热点代谢物和表型组关联等机制</w:t>
      </w:r>
    </w:p>
    <w:p>
      <w:pPr>
        <w:numPr>
          <w:ilvl w:val="0"/>
          <w:numId w:val="0"/>
        </w:numPr>
        <w:spacing w:line="360" w:lineRule="auto"/>
        <w:ind w:leftChars="0"/>
        <w:rPr>
          <w:rFonts w:hint="eastAsia"/>
          <w:sz w:val="24"/>
          <w:szCs w:val="32"/>
          <w:lang w:val="en-US" w:eastAsia="zh-CN"/>
        </w:rPr>
      </w:pPr>
      <w:r>
        <w:drawing>
          <wp:inline distT="0" distB="0" distL="114300" distR="114300">
            <wp:extent cx="4427855" cy="1631315"/>
            <wp:effectExtent l="0" t="0" r="127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427855" cy="1631315"/>
                    </a:xfrm>
                    <a:prstGeom prst="rect">
                      <a:avLst/>
                    </a:prstGeom>
                    <a:noFill/>
                    <a:ln>
                      <a:noFill/>
                    </a:ln>
                  </pic:spPr>
                </pic:pic>
              </a:graphicData>
            </a:graphic>
          </wp:inline>
        </w:drawing>
      </w:r>
    </w:p>
    <w:p>
      <w:pPr>
        <w:numPr>
          <w:ilvl w:val="0"/>
          <w:numId w:val="0"/>
        </w:numPr>
        <w:spacing w:line="360" w:lineRule="auto"/>
        <w:ind w:leftChars="0"/>
        <w:rPr>
          <w:rFonts w:hint="eastAsia"/>
          <w:sz w:val="24"/>
          <w:szCs w:val="32"/>
          <w:lang w:val="en-US" w:eastAsia="zh-CN"/>
        </w:rPr>
      </w:pPr>
    </w:p>
    <w:p>
      <w:pPr>
        <w:numPr>
          <w:ilvl w:val="0"/>
          <w:numId w:val="0"/>
        </w:numPr>
        <w:spacing w:line="360" w:lineRule="auto"/>
        <w:ind w:leftChars="0"/>
        <w:rPr>
          <w:rFonts w:hint="eastAsia"/>
          <w:b/>
          <w:bCs/>
          <w:sz w:val="24"/>
          <w:szCs w:val="32"/>
          <w:lang w:val="en-US" w:eastAsia="zh-CN"/>
        </w:rPr>
      </w:pPr>
      <w:r>
        <w:rPr>
          <w:rFonts w:hint="eastAsia"/>
          <w:b/>
          <w:bCs/>
          <w:sz w:val="24"/>
          <w:szCs w:val="32"/>
          <w:lang w:val="en-US" w:eastAsia="zh-CN"/>
        </w:rPr>
        <w:t>1.4 Q200宏代谢组（菌群-宿主共代谢）</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麦特绘谱研发团队是国内最早开始肠道菌群研究的团队之一，2012年发表Science系统总结菌群-代谢物及功能；2017年率先开发菌群代谢物检测方法，2018年首次建立肠道菌群和代谢物关联方法，并不断升级菌群和代谢关联研究方案。</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高通量绝对定量200+菌群相关代谢物浓度</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涵盖短链脂肪酸、胆汁酸、氨基酸、吲哚、苯基或苄基衍生物等类群</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自研检测和菌群-代谢物关联分析方法学</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开创性提出临床或动物表型-菌群-代谢-疾病机制的闭环研究方案</w:t>
      </w:r>
    </w:p>
    <w:p>
      <w:pPr>
        <w:numPr>
          <w:ilvl w:val="0"/>
          <w:numId w:val="2"/>
        </w:numPr>
        <w:spacing w:line="360" w:lineRule="auto"/>
        <w:ind w:left="420" w:leftChars="0" w:hanging="420" w:firstLineChars="0"/>
        <w:rPr>
          <w:rFonts w:hint="eastAsia"/>
          <w:sz w:val="24"/>
          <w:szCs w:val="32"/>
          <w:lang w:val="en-US" w:eastAsia="zh-CN"/>
        </w:rPr>
      </w:pPr>
      <w:r>
        <w:rPr>
          <w:rFonts w:hint="eastAsia"/>
          <w:sz w:val="24"/>
          <w:szCs w:val="32"/>
          <w:lang w:val="en-US" w:eastAsia="zh-CN"/>
        </w:rPr>
        <w:t>助力Cell Metabolism, Gut等百余篇肠道菌群-代谢高分研究成果</w:t>
      </w:r>
    </w:p>
    <w:p>
      <w:pPr>
        <w:numPr>
          <w:ilvl w:val="0"/>
          <w:numId w:val="0"/>
        </w:numPr>
        <w:spacing w:line="360" w:lineRule="auto"/>
        <w:ind w:leftChars="0"/>
        <w:rPr>
          <w:rFonts w:hint="eastAsia"/>
          <w:sz w:val="24"/>
          <w:szCs w:val="32"/>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default"/>
          <w:b/>
          <w:bCs/>
          <w:sz w:val="28"/>
          <w:szCs w:val="36"/>
          <w:lang w:val="en-US" w:eastAsia="zh-CN"/>
        </w:rPr>
        <w:t>单类定量代谢组</w:t>
      </w: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2.1</w:t>
      </w:r>
      <w:r>
        <w:rPr>
          <w:rFonts w:hint="default"/>
          <w:b/>
          <w:bCs/>
          <w:sz w:val="24"/>
          <w:szCs w:val="32"/>
          <w:lang w:val="en-US" w:eastAsia="zh-CN"/>
        </w:rPr>
        <w:t xml:space="preserve"> 胆汁酸谱分析</w:t>
      </w:r>
    </w:p>
    <w:p>
      <w:pPr>
        <w:numPr>
          <w:ilvl w:val="0"/>
          <w:numId w:val="3"/>
        </w:numPr>
        <w:spacing w:line="360" w:lineRule="auto"/>
        <w:ind w:left="420" w:leftChars="0" w:hanging="420" w:firstLineChars="0"/>
        <w:rPr>
          <w:rFonts w:hint="default"/>
          <w:sz w:val="24"/>
          <w:szCs w:val="32"/>
          <w:lang w:val="en-US" w:eastAsia="zh-CN"/>
        </w:rPr>
      </w:pPr>
      <w:r>
        <w:rPr>
          <w:rFonts w:hint="eastAsia"/>
          <w:sz w:val="24"/>
          <w:szCs w:val="32"/>
          <w:lang w:val="en-US" w:eastAsia="zh-CN"/>
        </w:rPr>
        <w:t>研发</w:t>
      </w:r>
      <w:r>
        <w:rPr>
          <w:rFonts w:hint="default"/>
          <w:sz w:val="24"/>
          <w:szCs w:val="32"/>
          <w:lang w:val="en-US" w:eastAsia="zh-CN"/>
        </w:rPr>
        <w:t>团队深耕胆汁酸与临床疾病研究多年，已发表胆汁酸相关文章50余篇</w:t>
      </w:r>
    </w:p>
    <w:p>
      <w:pPr>
        <w:numPr>
          <w:ilvl w:val="0"/>
          <w:numId w:val="3"/>
        </w:numPr>
        <w:spacing w:line="360" w:lineRule="auto"/>
        <w:ind w:left="420" w:leftChars="0" w:hanging="420" w:firstLineChars="0"/>
        <w:rPr>
          <w:rFonts w:hint="default"/>
          <w:sz w:val="24"/>
          <w:szCs w:val="32"/>
          <w:lang w:val="en-US" w:eastAsia="zh-CN"/>
        </w:rPr>
      </w:pPr>
      <w:r>
        <w:rPr>
          <w:rFonts w:hint="eastAsia"/>
          <w:sz w:val="24"/>
          <w:szCs w:val="32"/>
          <w:lang w:val="en-US" w:eastAsia="zh-CN"/>
        </w:rPr>
        <w:t>构建</w:t>
      </w:r>
      <w:r>
        <w:rPr>
          <w:rFonts w:hint="default"/>
          <w:sz w:val="24"/>
          <w:szCs w:val="32"/>
          <w:lang w:val="en-US" w:eastAsia="zh-CN"/>
        </w:rPr>
        <w:t>65+种</w:t>
      </w:r>
      <w:r>
        <w:rPr>
          <w:rFonts w:hint="eastAsia"/>
          <w:sz w:val="24"/>
          <w:szCs w:val="32"/>
          <w:lang w:val="en-US" w:eastAsia="zh-CN"/>
        </w:rPr>
        <w:t>胆汁酸</w:t>
      </w:r>
      <w:r>
        <w:rPr>
          <w:rFonts w:hint="default"/>
          <w:sz w:val="24"/>
          <w:szCs w:val="32"/>
          <w:lang w:val="en-US" w:eastAsia="zh-CN"/>
        </w:rPr>
        <w:t>标准曲线，同位素</w:t>
      </w:r>
      <w:r>
        <w:rPr>
          <w:rFonts w:hint="eastAsia"/>
          <w:sz w:val="24"/>
          <w:szCs w:val="32"/>
          <w:lang w:val="en-US" w:eastAsia="zh-CN"/>
        </w:rPr>
        <w:t>内标校正绝对定量</w:t>
      </w:r>
      <w:r>
        <w:rPr>
          <w:rFonts w:hint="default"/>
          <w:sz w:val="24"/>
          <w:szCs w:val="32"/>
          <w:lang w:val="en-US" w:eastAsia="zh-CN"/>
        </w:rPr>
        <w:t>，确保多种同分异构体较好分离</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助力客户在Cell Metabolism、Nature Communications、Diabetes Care等期刊发表</w:t>
      </w:r>
      <w:r>
        <w:rPr>
          <w:rFonts w:hint="eastAsia"/>
          <w:sz w:val="24"/>
          <w:szCs w:val="32"/>
          <w:lang w:val="en-US" w:eastAsia="zh-CN"/>
        </w:rPr>
        <w:t>50+</w:t>
      </w:r>
      <w:r>
        <w:rPr>
          <w:rFonts w:hint="default"/>
          <w:sz w:val="24"/>
          <w:szCs w:val="32"/>
          <w:lang w:val="en-US" w:eastAsia="zh-CN"/>
        </w:rPr>
        <w:t>篇SCI高分文章</w:t>
      </w:r>
    </w:p>
    <w:p>
      <w:pPr>
        <w:numPr>
          <w:ilvl w:val="0"/>
          <w:numId w:val="0"/>
        </w:numPr>
        <w:spacing w:line="360" w:lineRule="auto"/>
        <w:ind w:leftChars="0"/>
      </w:pPr>
      <w:r>
        <w:drawing>
          <wp:inline distT="0" distB="0" distL="114300" distR="114300">
            <wp:extent cx="4249420" cy="149034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rcRect r="19373" b="8713"/>
                    <a:stretch>
                      <a:fillRect/>
                    </a:stretch>
                  </pic:blipFill>
                  <pic:spPr>
                    <a:xfrm>
                      <a:off x="0" y="0"/>
                      <a:ext cx="4249420" cy="1490345"/>
                    </a:xfrm>
                    <a:prstGeom prst="rect">
                      <a:avLst/>
                    </a:prstGeom>
                    <a:noFill/>
                    <a:ln>
                      <a:noFill/>
                    </a:ln>
                  </pic:spPr>
                </pic:pic>
              </a:graphicData>
            </a:graphic>
          </wp:inline>
        </w:drawing>
      </w:r>
    </w:p>
    <w:p>
      <w:pPr>
        <w:numPr>
          <w:ilvl w:val="0"/>
          <w:numId w:val="0"/>
        </w:numPr>
        <w:spacing w:line="360" w:lineRule="auto"/>
        <w:ind w:leftChars="0"/>
        <w:rPr>
          <w:rFonts w:hint="eastAsia"/>
          <w:lang w:val="en-US" w:eastAsia="zh-CN"/>
        </w:rPr>
      </w:pPr>
      <w:r>
        <w:rPr>
          <w:rFonts w:hint="eastAsia"/>
          <w:sz w:val="18"/>
          <w:szCs w:val="21"/>
          <w:lang w:val="en-US" w:eastAsia="zh-CN"/>
        </w:rPr>
        <w:t>注：该</w:t>
      </w:r>
      <w:r>
        <w:rPr>
          <w:rFonts w:hint="eastAsia"/>
          <w:sz w:val="18"/>
          <w:szCs w:val="21"/>
        </w:rPr>
        <w:t>分类仅供参考</w:t>
      </w:r>
      <w:r>
        <w:rPr>
          <w:rFonts w:hint="eastAsia"/>
          <w:sz w:val="18"/>
          <w:szCs w:val="21"/>
          <w:lang w:eastAsia="zh-CN"/>
        </w:rPr>
        <w:t>，</w:t>
      </w:r>
      <w:r>
        <w:rPr>
          <w:rFonts w:hint="eastAsia"/>
          <w:sz w:val="18"/>
          <w:szCs w:val="21"/>
          <w:lang w:val="en-US" w:eastAsia="zh-CN"/>
        </w:rPr>
        <w:t>具体分类会因不同物种而有差别</w:t>
      </w:r>
    </w:p>
    <w:p>
      <w:pPr>
        <w:numPr>
          <w:ilvl w:val="0"/>
          <w:numId w:val="0"/>
        </w:numPr>
        <w:spacing w:line="360" w:lineRule="auto"/>
        <w:ind w:leftChars="0"/>
        <w:rPr>
          <w:rFonts w:hint="default"/>
          <w:sz w:val="24"/>
          <w:szCs w:val="32"/>
          <w:lang w:val="en-US" w:eastAsia="zh-CN"/>
        </w:rPr>
      </w:pPr>
    </w:p>
    <w:p>
      <w:pPr>
        <w:numPr>
          <w:ilvl w:val="0"/>
          <w:numId w:val="0"/>
        </w:numPr>
        <w:spacing w:line="360" w:lineRule="auto"/>
        <w:ind w:leftChars="0"/>
        <w:rPr>
          <w:rFonts w:hint="default"/>
          <w:b/>
          <w:bCs/>
          <w:sz w:val="24"/>
          <w:szCs w:val="32"/>
          <w:lang w:val="en-US" w:eastAsia="zh-CN"/>
        </w:rPr>
      </w:pPr>
      <w:r>
        <w:rPr>
          <w:rFonts w:hint="eastAsia"/>
          <w:b/>
          <w:bCs/>
          <w:sz w:val="24"/>
          <w:szCs w:val="32"/>
          <w:lang w:val="en-US" w:eastAsia="zh-CN"/>
        </w:rPr>
        <w:t>2.</w:t>
      </w:r>
      <w:r>
        <w:rPr>
          <w:rFonts w:hint="default"/>
          <w:b/>
          <w:bCs/>
          <w:sz w:val="24"/>
          <w:szCs w:val="32"/>
          <w:lang w:val="en-US" w:eastAsia="zh-CN"/>
        </w:rPr>
        <w:t>2 更多单类panel定量代谢组</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肠道菌群与疾病研究热点代谢物—胆汁酸、短链脂肪酸、TMAO类、色氨酸代谢物等</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肿瘤与代谢研究热点代谢物—能量代谢、TCA循环及有机酸、一碳代谢物、氨基酸等</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铁死亡研究热点代谢物—脂肪酸、脂质组等</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临床密切关注的功能性代谢物-维生素谱、激素谱、神经递质谱等</w:t>
      </w:r>
    </w:p>
    <w:p>
      <w:pPr>
        <w:numPr>
          <w:ilvl w:val="0"/>
          <w:numId w:val="3"/>
        </w:numPr>
        <w:spacing w:line="360" w:lineRule="auto"/>
        <w:ind w:left="420" w:leftChars="0" w:hanging="420" w:firstLineChars="0"/>
        <w:rPr>
          <w:rFonts w:hint="default"/>
          <w:sz w:val="24"/>
          <w:szCs w:val="32"/>
          <w:lang w:val="en-US" w:eastAsia="zh-CN"/>
        </w:rPr>
      </w:pPr>
      <w:r>
        <w:rPr>
          <w:rFonts w:hint="default"/>
          <w:sz w:val="24"/>
          <w:szCs w:val="32"/>
          <w:lang w:val="en-US" w:eastAsia="zh-CN"/>
        </w:rPr>
        <w:t>可根据客户项目需求提供个性化定制检测服务</w:t>
      </w:r>
    </w:p>
    <w:p>
      <w:pPr>
        <w:numPr>
          <w:ilvl w:val="0"/>
          <w:numId w:val="0"/>
        </w:numPr>
        <w:spacing w:line="360" w:lineRule="auto"/>
        <w:ind w:leftChars="0"/>
        <w:rPr>
          <w:rFonts w:hint="default"/>
          <w:sz w:val="24"/>
          <w:szCs w:val="32"/>
          <w:lang w:val="en-US" w:eastAsia="zh-CN"/>
        </w:rPr>
      </w:pPr>
      <w:r>
        <w:drawing>
          <wp:inline distT="0" distB="0" distL="114300" distR="114300">
            <wp:extent cx="4481830" cy="3560445"/>
            <wp:effectExtent l="0" t="0" r="444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4481830" cy="3560445"/>
                    </a:xfrm>
                    <a:prstGeom prst="rect">
                      <a:avLst/>
                    </a:prstGeom>
                    <a:noFill/>
                    <a:ln>
                      <a:noFill/>
                    </a:ln>
                  </pic:spPr>
                </pic:pic>
              </a:graphicData>
            </a:graphic>
          </wp:inline>
        </w:drawing>
      </w:r>
    </w:p>
    <w:p>
      <w:pPr>
        <w:numPr>
          <w:ilvl w:val="0"/>
          <w:numId w:val="0"/>
        </w:numPr>
        <w:spacing w:line="360" w:lineRule="auto"/>
        <w:ind w:leftChars="0"/>
        <w:rPr>
          <w:rFonts w:hint="default"/>
          <w:sz w:val="24"/>
          <w:szCs w:val="32"/>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eastAsia"/>
          <w:b/>
          <w:bCs/>
          <w:sz w:val="28"/>
          <w:szCs w:val="36"/>
          <w:lang w:val="en-US" w:eastAsia="zh-CN"/>
        </w:rPr>
        <w:t>非靶向代谢组学</w:t>
      </w:r>
    </w:p>
    <w:p>
      <w:pPr>
        <w:numPr>
          <w:ilvl w:val="0"/>
          <w:numId w:val="0"/>
        </w:numPr>
        <w:spacing w:line="360" w:lineRule="auto"/>
        <w:ind w:leftChars="0"/>
        <w:rPr>
          <w:rFonts w:hint="default"/>
          <w:sz w:val="24"/>
          <w:szCs w:val="32"/>
          <w:lang w:val="en-US" w:eastAsia="zh-CN"/>
        </w:rPr>
      </w:pPr>
      <w:r>
        <w:rPr>
          <w:rFonts w:hint="default"/>
          <w:sz w:val="24"/>
          <w:szCs w:val="32"/>
          <w:lang w:val="en-US" w:eastAsia="zh-CN"/>
        </w:rPr>
        <w:t>非靶向代谢组学主要是利用色谱-质谱联用技术，结合自建数据库或公共数据库对样本中代谢物进行搜库定性和相对定量，通过比较对照组和处理组中检测到的代谢物，筛选出差异代谢物，再进行代谢通路分析，结合后续靶向验证实验阐明代谢机制和筛选潜在生物标志物。</w:t>
      </w:r>
    </w:p>
    <w:p>
      <w:pPr>
        <w:numPr>
          <w:ilvl w:val="0"/>
          <w:numId w:val="0"/>
        </w:numPr>
        <w:spacing w:line="360" w:lineRule="auto"/>
        <w:ind w:leftChars="0"/>
      </w:pPr>
      <w:r>
        <w:drawing>
          <wp:inline distT="0" distB="0" distL="114300" distR="114300">
            <wp:extent cx="5072380" cy="1510030"/>
            <wp:effectExtent l="0" t="0" r="444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072380" cy="1510030"/>
                    </a:xfrm>
                    <a:prstGeom prst="rect">
                      <a:avLst/>
                    </a:prstGeom>
                    <a:noFill/>
                    <a:ln>
                      <a:noFill/>
                    </a:ln>
                  </pic:spPr>
                </pic:pic>
              </a:graphicData>
            </a:graphic>
          </wp:inline>
        </w:drawing>
      </w:r>
    </w:p>
    <w:p>
      <w:pPr>
        <w:numPr>
          <w:ilvl w:val="0"/>
          <w:numId w:val="4"/>
        </w:numPr>
        <w:spacing w:line="360" w:lineRule="auto"/>
        <w:ind w:left="420" w:leftChars="0" w:hanging="420" w:firstLineChars="0"/>
        <w:rPr>
          <w:rFonts w:hint="default"/>
          <w:lang w:val="en-US" w:eastAsia="zh-CN"/>
        </w:rPr>
      </w:pPr>
      <w:r>
        <w:rPr>
          <w:rFonts w:hint="default"/>
          <w:lang w:val="en-US" w:eastAsia="zh-CN"/>
        </w:rPr>
        <w:t>高互补平台：气质GC-TOF/MS非靶向代谢组学，液质UHPLC-Q Exactive™ HF-X MS非靶向代谢组学</w:t>
      </w:r>
      <w:r>
        <w:rPr>
          <w:rFonts w:hint="eastAsia"/>
          <w:lang w:val="en-US" w:eastAsia="zh-CN"/>
        </w:rPr>
        <w:t>两大平台供选择</w:t>
      </w:r>
    </w:p>
    <w:p>
      <w:pPr>
        <w:numPr>
          <w:ilvl w:val="0"/>
          <w:numId w:val="4"/>
        </w:numPr>
        <w:spacing w:line="360" w:lineRule="auto"/>
        <w:ind w:left="420" w:leftChars="0" w:hanging="420" w:firstLineChars="0"/>
        <w:rPr>
          <w:rFonts w:hint="default"/>
          <w:lang w:val="en-US" w:eastAsia="zh-CN"/>
        </w:rPr>
      </w:pPr>
      <w:r>
        <w:rPr>
          <w:rFonts w:hint="default"/>
          <w:lang w:val="en-US" w:eastAsia="zh-CN"/>
        </w:rPr>
        <w:t>超严格质控：QC和含同位素内标多重质控，确保仪器系统稳定性和数据可靠性</w:t>
      </w:r>
    </w:p>
    <w:p>
      <w:pPr>
        <w:numPr>
          <w:ilvl w:val="0"/>
          <w:numId w:val="4"/>
        </w:numPr>
        <w:spacing w:line="360" w:lineRule="auto"/>
        <w:ind w:left="420" w:leftChars="0" w:hanging="420" w:firstLineChars="0"/>
        <w:rPr>
          <w:rFonts w:hint="default"/>
          <w:lang w:val="en-US" w:eastAsia="zh-CN"/>
        </w:rPr>
      </w:pPr>
      <w:r>
        <w:rPr>
          <w:rFonts w:hint="default"/>
          <w:lang w:val="en-US" w:eastAsia="zh-CN"/>
        </w:rPr>
        <w:t>庞大数据库：自建库+商业库（Metlin 2019、HMDB 2022）；基于近二十年积累，构建1500+小分子代谢物标准品库JiaLibTM，包含质谱和不同保留指数体系（Alkanes和FAMEs）</w:t>
      </w:r>
    </w:p>
    <w:p>
      <w:pPr>
        <w:numPr>
          <w:ilvl w:val="0"/>
          <w:numId w:val="0"/>
        </w:numPr>
        <w:spacing w:line="360" w:lineRule="auto"/>
        <w:ind w:leftChars="0"/>
        <w:rPr>
          <w:rFonts w:hint="default"/>
          <w:sz w:val="24"/>
          <w:szCs w:val="32"/>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default"/>
          <w:b/>
          <w:bCs/>
          <w:sz w:val="28"/>
          <w:szCs w:val="36"/>
          <w:lang w:val="en-US" w:eastAsia="zh-CN"/>
        </w:rPr>
        <w:t>稳定同位素示踪代谢流</w:t>
      </w:r>
    </w:p>
    <w:p>
      <w:pPr>
        <w:numPr>
          <w:ilvl w:val="0"/>
          <w:numId w:val="5"/>
        </w:numPr>
        <w:spacing w:line="360" w:lineRule="auto"/>
        <w:ind w:left="420" w:leftChars="0" w:hanging="420" w:firstLineChars="0"/>
        <w:rPr>
          <w:rFonts w:hint="default"/>
          <w:sz w:val="24"/>
          <w:szCs w:val="32"/>
          <w:lang w:val="en-US" w:eastAsia="zh-CN"/>
        </w:rPr>
      </w:pPr>
      <w:r>
        <w:rPr>
          <w:rFonts w:hint="default"/>
          <w:sz w:val="24"/>
          <w:szCs w:val="32"/>
          <w:lang w:val="en-US" w:eastAsia="zh-CN"/>
        </w:rPr>
        <w:t>代谢组学捕捉静态代谢物响应，而代谢流获得动态代谢流量信息，表征代谢物来源和去向</w:t>
      </w:r>
    </w:p>
    <w:p>
      <w:pPr>
        <w:numPr>
          <w:ilvl w:val="0"/>
          <w:numId w:val="5"/>
        </w:numPr>
        <w:spacing w:line="360" w:lineRule="auto"/>
        <w:ind w:left="420" w:leftChars="0" w:hanging="420" w:firstLineChars="0"/>
        <w:rPr>
          <w:rFonts w:hint="default"/>
          <w:sz w:val="24"/>
          <w:szCs w:val="32"/>
          <w:lang w:val="en-US" w:eastAsia="zh-CN"/>
        </w:rPr>
      </w:pPr>
      <w:r>
        <w:rPr>
          <w:rFonts w:hint="default"/>
          <w:sz w:val="24"/>
          <w:szCs w:val="32"/>
          <w:lang w:val="en-US" w:eastAsia="zh-CN"/>
        </w:rPr>
        <w:t>前沿代谢流技术常用于CNS等顶刊的机制验证研究，适用于精细化研究</w:t>
      </w:r>
      <w:r>
        <w:rPr>
          <w:rFonts w:hint="eastAsia"/>
          <w:sz w:val="24"/>
          <w:szCs w:val="32"/>
          <w:lang w:val="en-US" w:eastAsia="zh-CN"/>
        </w:rPr>
        <w:t>特定</w:t>
      </w:r>
      <w:r>
        <w:rPr>
          <w:rFonts w:hint="default"/>
          <w:sz w:val="24"/>
          <w:szCs w:val="32"/>
          <w:lang w:val="en-US" w:eastAsia="zh-CN"/>
        </w:rPr>
        <w:t>代谢通路</w:t>
      </w:r>
    </w:p>
    <w:p>
      <w:pPr>
        <w:numPr>
          <w:ilvl w:val="0"/>
          <w:numId w:val="5"/>
        </w:numPr>
        <w:spacing w:line="360" w:lineRule="auto"/>
        <w:ind w:left="420" w:leftChars="0" w:hanging="420" w:firstLineChars="0"/>
        <w:rPr>
          <w:rFonts w:hint="default"/>
          <w:sz w:val="24"/>
          <w:szCs w:val="32"/>
          <w:lang w:val="en-US" w:eastAsia="zh-CN"/>
        </w:rPr>
      </w:pPr>
      <w:r>
        <w:rPr>
          <w:rFonts w:hint="default"/>
          <w:sz w:val="24"/>
          <w:szCs w:val="32"/>
          <w:lang w:val="en-US" w:eastAsia="zh-CN"/>
        </w:rPr>
        <w:t>GC-MS和LC-MS高互补双平台，可追踪</w:t>
      </w:r>
      <w:r>
        <w:rPr>
          <w:rFonts w:hint="default"/>
          <w:sz w:val="24"/>
          <w:szCs w:val="32"/>
          <w:vertAlign w:val="superscript"/>
          <w:lang w:val="en-US" w:eastAsia="zh-CN"/>
        </w:rPr>
        <w:t>13</w:t>
      </w:r>
      <w:r>
        <w:rPr>
          <w:rFonts w:hint="default"/>
          <w:sz w:val="24"/>
          <w:szCs w:val="32"/>
          <w:lang w:val="en-US" w:eastAsia="zh-CN"/>
        </w:rPr>
        <w:t>C和</w:t>
      </w:r>
      <w:r>
        <w:rPr>
          <w:rFonts w:hint="default"/>
          <w:sz w:val="24"/>
          <w:szCs w:val="32"/>
          <w:vertAlign w:val="superscript"/>
          <w:lang w:val="en-US" w:eastAsia="zh-CN"/>
        </w:rPr>
        <w:t>15</w:t>
      </w:r>
      <w:r>
        <w:rPr>
          <w:rFonts w:hint="default"/>
          <w:sz w:val="24"/>
          <w:szCs w:val="32"/>
          <w:lang w:val="en-US" w:eastAsia="zh-CN"/>
        </w:rPr>
        <w:t>N等被标记物100+种，</w:t>
      </w:r>
      <w:r>
        <w:rPr>
          <w:rFonts w:hint="eastAsia"/>
          <w:sz w:val="24"/>
          <w:szCs w:val="32"/>
          <w:lang w:val="en-US" w:eastAsia="zh-CN"/>
        </w:rPr>
        <w:t>还</w:t>
      </w:r>
      <w:r>
        <w:rPr>
          <w:rFonts w:hint="default"/>
          <w:sz w:val="24"/>
          <w:szCs w:val="32"/>
          <w:lang w:val="en-US" w:eastAsia="zh-CN"/>
        </w:rPr>
        <w:t>可个性化定制</w:t>
      </w:r>
    </w:p>
    <w:p>
      <w:pPr>
        <w:numPr>
          <w:ilvl w:val="0"/>
          <w:numId w:val="5"/>
        </w:numPr>
        <w:spacing w:line="360" w:lineRule="auto"/>
        <w:ind w:left="420" w:leftChars="0" w:hanging="420" w:firstLineChars="0"/>
        <w:rPr>
          <w:rFonts w:hint="default"/>
          <w:sz w:val="24"/>
          <w:szCs w:val="32"/>
          <w:lang w:val="en-US" w:eastAsia="zh-CN"/>
        </w:rPr>
      </w:pPr>
      <w:r>
        <w:rPr>
          <w:rFonts w:hint="default"/>
          <w:sz w:val="24"/>
          <w:szCs w:val="32"/>
          <w:lang w:val="en-US" w:eastAsia="zh-CN"/>
        </w:rPr>
        <w:t>广覆盖热点通路：糖酵解、TCA循环、磷酸戊糖通路、氨基酸代谢、脂肪酸代谢、一碳代谢、核苷酸代谢等</w:t>
      </w:r>
    </w:p>
    <w:p>
      <w:pPr>
        <w:numPr>
          <w:ilvl w:val="0"/>
          <w:numId w:val="5"/>
        </w:numPr>
        <w:spacing w:line="360" w:lineRule="auto"/>
        <w:ind w:left="420" w:leftChars="0" w:hanging="420" w:firstLineChars="0"/>
        <w:rPr>
          <w:rFonts w:hint="default"/>
          <w:sz w:val="24"/>
          <w:szCs w:val="32"/>
          <w:lang w:val="en-US" w:eastAsia="zh-CN"/>
        </w:rPr>
      </w:pPr>
      <w:r>
        <w:rPr>
          <w:rFonts w:hint="default"/>
          <w:sz w:val="24"/>
          <w:szCs w:val="32"/>
          <w:lang w:val="en-US" w:eastAsia="zh-CN"/>
        </w:rPr>
        <w:t>详尽样本收集方案和资深代谢流专家护航，辅助数据深度挖掘</w:t>
      </w:r>
    </w:p>
    <w:p>
      <w:pPr>
        <w:numPr>
          <w:ilvl w:val="0"/>
          <w:numId w:val="0"/>
        </w:numPr>
        <w:spacing w:line="360" w:lineRule="auto"/>
        <w:ind w:leftChars="0"/>
        <w:rPr>
          <w:rFonts w:hint="default"/>
          <w:sz w:val="24"/>
          <w:szCs w:val="32"/>
          <w:lang w:val="en-US" w:eastAsia="zh-CN"/>
        </w:rPr>
      </w:pPr>
      <w:r>
        <w:drawing>
          <wp:inline distT="0" distB="0" distL="114300" distR="114300">
            <wp:extent cx="5268595" cy="1838325"/>
            <wp:effectExtent l="0" t="0" r="825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268595" cy="1838325"/>
                    </a:xfrm>
                    <a:prstGeom prst="rect">
                      <a:avLst/>
                    </a:prstGeom>
                    <a:noFill/>
                    <a:ln>
                      <a:noFill/>
                    </a:ln>
                  </pic:spPr>
                </pic:pic>
              </a:graphicData>
            </a:graphic>
          </wp:inline>
        </w:drawing>
      </w:r>
    </w:p>
    <w:p>
      <w:pPr>
        <w:numPr>
          <w:ilvl w:val="0"/>
          <w:numId w:val="0"/>
        </w:numPr>
        <w:spacing w:line="360" w:lineRule="auto"/>
        <w:ind w:leftChars="0"/>
        <w:rPr>
          <w:rFonts w:hint="default"/>
          <w:sz w:val="24"/>
          <w:szCs w:val="32"/>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eastAsia"/>
          <w:b/>
          <w:bCs/>
          <w:sz w:val="28"/>
          <w:szCs w:val="36"/>
          <w:lang w:val="en-US" w:eastAsia="zh-CN"/>
        </w:rPr>
        <w:t>蛋白质组学</w:t>
      </w:r>
    </w:p>
    <w:p>
      <w:pPr>
        <w:numPr>
          <w:ilvl w:val="0"/>
          <w:numId w:val="0"/>
        </w:numPr>
        <w:spacing w:line="360" w:lineRule="auto"/>
        <w:ind w:leftChars="0"/>
        <w:rPr>
          <w:rFonts w:hint="default"/>
          <w:sz w:val="24"/>
          <w:szCs w:val="32"/>
          <w:lang w:val="en-US" w:eastAsia="zh-CN"/>
        </w:rPr>
      </w:pPr>
      <w:r>
        <w:rPr>
          <w:rFonts w:hint="default"/>
          <w:sz w:val="24"/>
          <w:szCs w:val="32"/>
          <w:lang w:val="en-US" w:eastAsia="zh-CN"/>
        </w:rPr>
        <w:t>蛋白质组学（proteomics）是以蛋白质组为研究对象，研究细胞、组织或生物体蛋白质组成及其变化规律的科学。检测技术平台有质谱、蛋白芯片及Olink蛋白质组学，以基于质谱检测技术进行定性定量为主，也有利用抗体上偶联特定的DNA，通过qPCR/NGS快速完成蛋白靶向定量分析的技术</w:t>
      </w:r>
      <w:r>
        <w:rPr>
          <w:rFonts w:hint="eastAsia"/>
          <w:sz w:val="24"/>
          <w:szCs w:val="32"/>
          <w:lang w:val="en-US" w:eastAsia="zh-CN"/>
        </w:rPr>
        <w:t>，</w:t>
      </w:r>
      <w:r>
        <w:rPr>
          <w:rFonts w:hint="default"/>
          <w:sz w:val="24"/>
          <w:szCs w:val="32"/>
          <w:lang w:val="en-US" w:eastAsia="zh-CN"/>
        </w:rPr>
        <w:t>蛋</w:t>
      </w:r>
      <w:r>
        <w:rPr>
          <w:rFonts w:hint="eastAsia"/>
          <w:sz w:val="24"/>
          <w:szCs w:val="32"/>
          <w:lang w:val="en-US" w:eastAsia="zh-CN"/>
        </w:rPr>
        <w:t>白</w:t>
      </w:r>
      <w:r>
        <w:rPr>
          <w:rFonts w:hint="default"/>
          <w:sz w:val="24"/>
          <w:szCs w:val="32"/>
          <w:lang w:val="en-US" w:eastAsia="zh-CN"/>
        </w:rPr>
        <w:t>质组学技术广泛应用于生物医学/药领域的研究。</w:t>
      </w:r>
    </w:p>
    <w:p>
      <w:pPr>
        <w:numPr>
          <w:ilvl w:val="0"/>
          <w:numId w:val="0"/>
        </w:numPr>
        <w:spacing w:line="360" w:lineRule="auto"/>
        <w:ind w:leftChars="0"/>
        <w:rPr>
          <w:rFonts w:hint="default"/>
          <w:sz w:val="24"/>
          <w:szCs w:val="32"/>
          <w:lang w:val="en-US" w:eastAsia="zh-CN"/>
        </w:rPr>
      </w:pPr>
      <w:r>
        <w:drawing>
          <wp:inline distT="0" distB="0" distL="114300" distR="114300">
            <wp:extent cx="5269865" cy="1572895"/>
            <wp:effectExtent l="0" t="0" r="6985" b="825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69865" cy="1572895"/>
                    </a:xfrm>
                    <a:prstGeom prst="rect">
                      <a:avLst/>
                    </a:prstGeom>
                    <a:noFill/>
                    <a:ln>
                      <a:noFill/>
                    </a:ln>
                  </pic:spPr>
                </pic:pic>
              </a:graphicData>
            </a:graphic>
          </wp:inline>
        </w:drawing>
      </w:r>
    </w:p>
    <w:p>
      <w:pPr>
        <w:numPr>
          <w:ilvl w:val="0"/>
          <w:numId w:val="1"/>
        </w:numPr>
        <w:spacing w:line="360" w:lineRule="auto"/>
        <w:ind w:left="0" w:leftChars="0" w:firstLine="0" w:firstLineChars="0"/>
        <w:rPr>
          <w:rFonts w:hint="default"/>
          <w:b/>
          <w:bCs/>
          <w:sz w:val="28"/>
          <w:szCs w:val="36"/>
          <w:lang w:val="en-US" w:eastAsia="zh-CN"/>
        </w:rPr>
      </w:pPr>
      <w:r>
        <w:rPr>
          <w:rFonts w:hint="default"/>
          <w:b/>
          <w:bCs/>
          <w:sz w:val="28"/>
          <w:szCs w:val="36"/>
          <w:lang w:val="en-US" w:eastAsia="zh-CN"/>
        </w:rPr>
        <w:t>微生物组学</w:t>
      </w:r>
    </w:p>
    <w:p>
      <w:pPr>
        <w:numPr>
          <w:ilvl w:val="0"/>
          <w:numId w:val="0"/>
        </w:numPr>
        <w:spacing w:line="360" w:lineRule="auto"/>
        <w:ind w:leftChars="0"/>
        <w:rPr>
          <w:rFonts w:hint="default"/>
          <w:sz w:val="24"/>
          <w:szCs w:val="32"/>
          <w:lang w:val="en-US" w:eastAsia="zh-CN"/>
        </w:rPr>
      </w:pPr>
      <w:r>
        <w:rPr>
          <w:rFonts w:hint="eastAsia"/>
          <w:b/>
          <w:bCs/>
          <w:sz w:val="24"/>
          <w:szCs w:val="32"/>
          <w:lang w:val="en-US" w:eastAsia="zh-CN"/>
        </w:rPr>
        <w:t xml:space="preserve">6.1 </w:t>
      </w:r>
      <w:r>
        <w:rPr>
          <w:rFonts w:hint="default"/>
          <w:b/>
          <w:bCs/>
          <w:sz w:val="24"/>
          <w:szCs w:val="32"/>
          <w:lang w:val="en-US" w:eastAsia="zh-CN"/>
        </w:rPr>
        <w:t>微生物多样性组成谱</w:t>
      </w:r>
      <w:r>
        <w:rPr>
          <w:rFonts w:hint="default"/>
          <w:sz w:val="24"/>
          <w:szCs w:val="32"/>
          <w:lang w:val="en-US" w:eastAsia="zh-CN"/>
        </w:rPr>
        <w:t>：以微生物群落作为研究对象，基于二/三代测序平台，对16S/18S/ITS等特定区段PCR产物进行高通量测序，结合生物信息</w:t>
      </w:r>
      <w:r>
        <w:rPr>
          <w:rFonts w:hint="eastAsia"/>
          <w:sz w:val="24"/>
          <w:szCs w:val="32"/>
          <w:lang w:val="en-US" w:eastAsia="zh-CN"/>
        </w:rPr>
        <w:t>学</w:t>
      </w:r>
      <w:r>
        <w:rPr>
          <w:rFonts w:hint="default"/>
          <w:sz w:val="24"/>
          <w:szCs w:val="32"/>
          <w:lang w:val="en-US" w:eastAsia="zh-CN"/>
        </w:rPr>
        <w:t>研究微生物群落多样性及组成差异，进而发现差异或标志物种。</w:t>
      </w:r>
    </w:p>
    <w:p>
      <w:pPr>
        <w:numPr>
          <w:ilvl w:val="0"/>
          <w:numId w:val="0"/>
        </w:numPr>
        <w:spacing w:line="360" w:lineRule="auto"/>
        <w:ind w:leftChars="0"/>
        <w:rPr>
          <w:rFonts w:hint="default"/>
          <w:sz w:val="24"/>
          <w:szCs w:val="32"/>
          <w:lang w:val="en-US" w:eastAsia="zh-CN"/>
        </w:rPr>
      </w:pPr>
      <w:r>
        <w:rPr>
          <w:rFonts w:hint="eastAsia"/>
          <w:b/>
          <w:bCs/>
          <w:sz w:val="24"/>
          <w:szCs w:val="32"/>
          <w:lang w:val="en-US" w:eastAsia="zh-CN"/>
        </w:rPr>
        <w:t xml:space="preserve">6.2 </w:t>
      </w:r>
      <w:r>
        <w:rPr>
          <w:rFonts w:hint="default"/>
          <w:b/>
          <w:bCs/>
          <w:sz w:val="24"/>
          <w:szCs w:val="32"/>
          <w:lang w:val="en-US" w:eastAsia="zh-CN"/>
        </w:rPr>
        <w:t>宏基因组学</w:t>
      </w:r>
      <w:r>
        <w:rPr>
          <w:rFonts w:hint="default"/>
          <w:sz w:val="24"/>
          <w:szCs w:val="32"/>
          <w:lang w:val="en-US" w:eastAsia="zh-CN"/>
        </w:rPr>
        <w:t>：通过全基因组鸟枪法测序技术，将提取获得的微生物组总DNA随机打断为短片段，并构建合适长度的插入片段文库进行双端测序，同时展示菌群功能代谢谱和物种精细组成谱，在组成和功能水平挖掘关键菌群标志物，从而阐明微生物对机体发挥作用的机制。</w:t>
      </w:r>
    </w:p>
    <w:p>
      <w:pPr>
        <w:numPr>
          <w:ilvl w:val="0"/>
          <w:numId w:val="0"/>
        </w:numPr>
        <w:spacing w:line="360" w:lineRule="auto"/>
        <w:ind w:leftChars="0"/>
        <w:rPr>
          <w:rFonts w:hint="default"/>
          <w:sz w:val="24"/>
          <w:szCs w:val="32"/>
          <w:lang w:val="en-US" w:eastAsia="zh-CN"/>
        </w:rPr>
      </w:pPr>
      <w:r>
        <w:drawing>
          <wp:inline distT="0" distB="0" distL="114300" distR="114300">
            <wp:extent cx="4767580" cy="1205230"/>
            <wp:effectExtent l="0" t="0" r="444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4767580" cy="1205230"/>
                    </a:xfrm>
                    <a:prstGeom prst="rect">
                      <a:avLst/>
                    </a:prstGeom>
                    <a:noFill/>
                    <a:ln>
                      <a:noFill/>
                    </a:ln>
                  </pic:spPr>
                </pic:pic>
              </a:graphicData>
            </a:graphic>
          </wp:inline>
        </w:drawing>
      </w:r>
    </w:p>
    <w:p>
      <w:pPr>
        <w:numPr>
          <w:ilvl w:val="0"/>
          <w:numId w:val="1"/>
        </w:numPr>
        <w:spacing w:line="360" w:lineRule="auto"/>
        <w:ind w:left="0" w:leftChars="0" w:firstLine="0" w:firstLineChars="0"/>
        <w:rPr>
          <w:rFonts w:hint="default"/>
          <w:b/>
          <w:bCs/>
          <w:sz w:val="28"/>
          <w:szCs w:val="36"/>
          <w:lang w:val="en-US" w:eastAsia="zh-CN"/>
        </w:rPr>
      </w:pPr>
      <w:r>
        <w:rPr>
          <w:rFonts w:hint="default"/>
          <w:b/>
          <w:bCs/>
          <w:sz w:val="28"/>
          <w:szCs w:val="36"/>
          <w:lang w:val="en-US" w:eastAsia="zh-CN"/>
        </w:rPr>
        <w:t>转录组学</w:t>
      </w:r>
    </w:p>
    <w:p>
      <w:pPr>
        <w:numPr>
          <w:ilvl w:val="0"/>
          <w:numId w:val="0"/>
        </w:numPr>
        <w:spacing w:line="360" w:lineRule="auto"/>
        <w:ind w:leftChars="0"/>
        <w:rPr>
          <w:rFonts w:hint="default"/>
          <w:sz w:val="24"/>
          <w:szCs w:val="32"/>
          <w:lang w:val="en-US" w:eastAsia="zh-CN"/>
        </w:rPr>
      </w:pPr>
      <w:r>
        <w:rPr>
          <w:rFonts w:hint="default"/>
          <w:sz w:val="24"/>
          <w:szCs w:val="32"/>
          <w:lang w:val="en-US" w:eastAsia="zh-CN"/>
        </w:rPr>
        <w:t>转录组是指特定组织或细胞在某个时间或某种状态下转录出来的所有RNA的总和，</w:t>
      </w:r>
      <w:r>
        <w:rPr>
          <w:rFonts w:hint="eastAsia"/>
          <w:sz w:val="24"/>
          <w:szCs w:val="32"/>
          <w:lang w:val="en-US" w:eastAsia="zh-CN"/>
        </w:rPr>
        <w:t>主要包括</w:t>
      </w:r>
      <w:r>
        <w:rPr>
          <w:rFonts w:hint="default"/>
          <w:sz w:val="24"/>
          <w:szCs w:val="32"/>
          <w:lang w:val="en-US" w:eastAsia="zh-CN"/>
        </w:rPr>
        <w:t>mRNA或非编码RNA，</w:t>
      </w:r>
      <w:r>
        <w:rPr>
          <w:rFonts w:hint="eastAsia"/>
          <w:sz w:val="24"/>
          <w:szCs w:val="32"/>
          <w:lang w:val="en-US" w:eastAsia="zh-CN"/>
        </w:rPr>
        <w:t>通过构建不同的文库进行高通量测序，并</w:t>
      </w:r>
      <w:r>
        <w:rPr>
          <w:rFonts w:hint="default"/>
          <w:sz w:val="24"/>
          <w:szCs w:val="32"/>
          <w:lang w:val="en-US" w:eastAsia="zh-CN"/>
        </w:rPr>
        <w:t>结合生物信息</w:t>
      </w:r>
      <w:r>
        <w:rPr>
          <w:rFonts w:hint="eastAsia"/>
          <w:sz w:val="24"/>
          <w:szCs w:val="32"/>
          <w:lang w:val="en-US" w:eastAsia="zh-CN"/>
        </w:rPr>
        <w:t>学</w:t>
      </w:r>
      <w:r>
        <w:rPr>
          <w:rFonts w:hint="default"/>
          <w:sz w:val="24"/>
          <w:szCs w:val="32"/>
          <w:lang w:val="en-US" w:eastAsia="zh-CN"/>
        </w:rPr>
        <w:t>分析</w:t>
      </w:r>
      <w:r>
        <w:rPr>
          <w:rFonts w:hint="eastAsia"/>
          <w:sz w:val="24"/>
          <w:szCs w:val="32"/>
          <w:lang w:val="en-US" w:eastAsia="zh-CN"/>
        </w:rPr>
        <w:t>，</w:t>
      </w:r>
      <w:r>
        <w:rPr>
          <w:rFonts w:hint="default"/>
          <w:sz w:val="24"/>
          <w:szCs w:val="32"/>
          <w:lang w:val="en-US" w:eastAsia="zh-CN"/>
        </w:rPr>
        <w:t>可用于癌症</w:t>
      </w:r>
      <w:r>
        <w:rPr>
          <w:rFonts w:hint="eastAsia"/>
          <w:sz w:val="24"/>
          <w:szCs w:val="32"/>
          <w:lang w:val="en-US" w:eastAsia="zh-CN"/>
        </w:rPr>
        <w:t>等</w:t>
      </w:r>
      <w:r>
        <w:rPr>
          <w:rFonts w:hint="default"/>
          <w:sz w:val="24"/>
          <w:szCs w:val="32"/>
          <w:lang w:val="en-US" w:eastAsia="zh-CN"/>
        </w:rPr>
        <w:t>疾病的发生发展机制研究，已成为疾病研究的重要手段</w:t>
      </w:r>
    </w:p>
    <w:p>
      <w:pPr>
        <w:numPr>
          <w:ilvl w:val="0"/>
          <w:numId w:val="0"/>
        </w:numPr>
        <w:spacing w:line="360" w:lineRule="auto"/>
        <w:ind w:leftChars="0"/>
      </w:pPr>
      <w:r>
        <w:drawing>
          <wp:inline distT="0" distB="0" distL="114300" distR="114300">
            <wp:extent cx="5272405" cy="1260475"/>
            <wp:effectExtent l="0" t="0" r="4445"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72405" cy="1260475"/>
                    </a:xfrm>
                    <a:prstGeom prst="rect">
                      <a:avLst/>
                    </a:prstGeom>
                    <a:noFill/>
                    <a:ln>
                      <a:noFill/>
                    </a:ln>
                  </pic:spPr>
                </pic:pic>
              </a:graphicData>
            </a:graphic>
          </wp:inline>
        </w:drawing>
      </w:r>
    </w:p>
    <w:p>
      <w:pPr>
        <w:numPr>
          <w:ilvl w:val="0"/>
          <w:numId w:val="0"/>
        </w:numPr>
        <w:spacing w:line="360" w:lineRule="auto"/>
        <w:ind w:leftChars="0"/>
        <w:rPr>
          <w:rFonts w:hint="default"/>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default"/>
          <w:b/>
          <w:bCs/>
          <w:sz w:val="28"/>
          <w:szCs w:val="36"/>
          <w:lang w:val="en-US" w:eastAsia="zh-CN"/>
        </w:rPr>
        <w:t>多组学联合分析</w:t>
      </w:r>
    </w:p>
    <w:p>
      <w:pPr>
        <w:numPr>
          <w:ilvl w:val="0"/>
          <w:numId w:val="0"/>
        </w:numPr>
        <w:spacing w:line="360" w:lineRule="auto"/>
        <w:ind w:leftChars="0"/>
        <w:rPr>
          <w:rFonts w:hint="default"/>
          <w:sz w:val="24"/>
          <w:szCs w:val="32"/>
          <w:lang w:val="en-US" w:eastAsia="zh-CN"/>
        </w:rPr>
      </w:pPr>
      <w:r>
        <w:rPr>
          <w:rFonts w:hint="default"/>
          <w:sz w:val="24"/>
          <w:szCs w:val="32"/>
          <w:lang w:val="en-US" w:eastAsia="zh-CN"/>
        </w:rPr>
        <w:t>生物过程具有复杂性和整体性，单一组学的数据难以系统全面地解析复杂生物学过程的调控机制。多组学联合分析是将基因、mRNA、蛋白、代谢等不同层面的组学数据进行高效整合，构建关键调控网络并进行相互间验证，从而深度理解疾病等生物学过程背后的复杂分子机制。</w:t>
      </w:r>
    </w:p>
    <w:p>
      <w:pPr>
        <w:numPr>
          <w:ilvl w:val="0"/>
          <w:numId w:val="0"/>
        </w:numPr>
        <w:spacing w:line="360" w:lineRule="auto"/>
        <w:ind w:leftChars="0"/>
      </w:pPr>
      <w:r>
        <w:drawing>
          <wp:inline distT="0" distB="0" distL="114300" distR="114300">
            <wp:extent cx="5271135" cy="1964690"/>
            <wp:effectExtent l="0" t="0" r="5715" b="698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271135" cy="1964690"/>
                    </a:xfrm>
                    <a:prstGeom prst="rect">
                      <a:avLst/>
                    </a:prstGeom>
                    <a:noFill/>
                    <a:ln>
                      <a:noFill/>
                    </a:ln>
                  </pic:spPr>
                </pic:pic>
              </a:graphicData>
            </a:graphic>
          </wp:inline>
        </w:drawing>
      </w:r>
    </w:p>
    <w:p>
      <w:pPr>
        <w:numPr>
          <w:ilvl w:val="0"/>
          <w:numId w:val="0"/>
        </w:numPr>
        <w:spacing w:line="360" w:lineRule="auto"/>
        <w:ind w:leftChars="0"/>
        <w:rPr>
          <w:rFonts w:hint="default"/>
          <w:lang w:val="en-US" w:eastAsia="zh-CN"/>
        </w:rPr>
      </w:pPr>
    </w:p>
    <w:p>
      <w:pPr>
        <w:numPr>
          <w:ilvl w:val="0"/>
          <w:numId w:val="1"/>
        </w:numPr>
        <w:spacing w:line="360" w:lineRule="auto"/>
        <w:ind w:left="0" w:leftChars="0" w:firstLine="0" w:firstLineChars="0"/>
        <w:rPr>
          <w:rFonts w:hint="default"/>
          <w:b/>
          <w:bCs/>
          <w:sz w:val="28"/>
          <w:szCs w:val="36"/>
          <w:lang w:val="en-US" w:eastAsia="zh-CN"/>
        </w:rPr>
      </w:pPr>
      <w:r>
        <w:rPr>
          <w:rFonts w:hint="eastAsia"/>
          <w:b/>
          <w:bCs/>
          <w:sz w:val="28"/>
          <w:szCs w:val="36"/>
          <w:lang w:val="en-US" w:eastAsia="zh-CN"/>
        </w:rPr>
        <w:t>联系方式</w:t>
      </w:r>
    </w:p>
    <w:p>
      <w:pPr>
        <w:numPr>
          <w:ilvl w:val="0"/>
          <w:numId w:val="0"/>
        </w:numPr>
        <w:spacing w:line="360" w:lineRule="auto"/>
        <w:ind w:leftChars="0"/>
        <w:rPr>
          <w:rFonts w:hint="default"/>
          <w:lang w:val="en-US" w:eastAsia="zh-CN"/>
        </w:rPr>
      </w:pPr>
      <w:r>
        <w:drawing>
          <wp:inline distT="0" distB="0" distL="114300" distR="114300">
            <wp:extent cx="4367530" cy="1224280"/>
            <wp:effectExtent l="0" t="0" r="4445"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4367530" cy="1224280"/>
                    </a:xfrm>
                    <a:prstGeom prst="rect">
                      <a:avLst/>
                    </a:prstGeom>
                    <a:noFill/>
                    <a:ln>
                      <a:noFill/>
                    </a:ln>
                  </pic:spPr>
                </pic:pic>
              </a:graphicData>
            </a:graphic>
          </wp:inline>
        </w:drawing>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电话：400-867-2686</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邮箱：marketing@metaboprofile.com</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官网：https://www.metaboprofile.com/</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地址：上海市浦东新区秀浦路2555号E6栋1层</w:t>
      </w:r>
    </w:p>
    <w:p>
      <w:pPr>
        <w:numPr>
          <w:ilvl w:val="0"/>
          <w:numId w:val="0"/>
        </w:numPr>
        <w:spacing w:line="360" w:lineRule="auto"/>
        <w:ind w:leftChars="0"/>
        <w:rPr>
          <w:rFonts w:hint="eastAsia"/>
          <w:sz w:val="24"/>
          <w:szCs w:val="32"/>
          <w:lang w:val="en-US" w:eastAsia="zh-CN"/>
        </w:rPr>
      </w:pPr>
    </w:p>
    <w:p>
      <w:pPr>
        <w:numPr>
          <w:ilvl w:val="0"/>
          <w:numId w:val="0"/>
        </w:numPr>
        <w:spacing w:line="360" w:lineRule="auto"/>
        <w:ind w:leftChars="0"/>
        <w:rPr>
          <w:rFonts w:hint="default"/>
          <w:sz w:val="24"/>
          <w:szCs w:val="32"/>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559040" cy="10692130"/>
          <wp:effectExtent l="0" t="0" r="0" b="0"/>
          <wp:wrapNone/>
          <wp:docPr id="14" name="WordPictureWatermark42053" descr="MP水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42053" descr="MP水印-png"/>
                  <pic:cNvPicPr>
                    <a:picLocks noChangeAspect="1"/>
                  </pic:cNvPicPr>
                </pic:nvPicPr>
                <pic:blipFill>
                  <a:blip r:embed="rId1"/>
                  <a:stretch>
                    <a:fillRect/>
                  </a:stretch>
                </pic:blipFill>
                <pic:spPr>
                  <a:xfrm>
                    <a:off x="0" y="0"/>
                    <a:ext cx="7559040" cy="106921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93333"/>
    <w:multiLevelType w:val="singleLevel"/>
    <w:tmpl w:val="A8A93333"/>
    <w:lvl w:ilvl="0" w:tentative="0">
      <w:start w:val="1"/>
      <w:numFmt w:val="bullet"/>
      <w:lvlText w:val=""/>
      <w:lvlJc w:val="left"/>
      <w:pPr>
        <w:ind w:left="420" w:hanging="420"/>
      </w:pPr>
      <w:rPr>
        <w:rFonts w:hint="default" w:ascii="Wingdings" w:hAnsi="Wingdings"/>
      </w:rPr>
    </w:lvl>
  </w:abstractNum>
  <w:abstractNum w:abstractNumId="1">
    <w:nsid w:val="B1AF50FD"/>
    <w:multiLevelType w:val="singleLevel"/>
    <w:tmpl w:val="B1AF50FD"/>
    <w:lvl w:ilvl="0" w:tentative="0">
      <w:start w:val="1"/>
      <w:numFmt w:val="bullet"/>
      <w:lvlText w:val=""/>
      <w:lvlJc w:val="left"/>
      <w:pPr>
        <w:ind w:left="420" w:hanging="420"/>
      </w:pPr>
      <w:rPr>
        <w:rFonts w:hint="default" w:ascii="Wingdings" w:hAnsi="Wingdings"/>
      </w:rPr>
    </w:lvl>
  </w:abstractNum>
  <w:abstractNum w:abstractNumId="2">
    <w:nsid w:val="BD1CD131"/>
    <w:multiLevelType w:val="singleLevel"/>
    <w:tmpl w:val="BD1CD131"/>
    <w:lvl w:ilvl="0" w:tentative="0">
      <w:start w:val="1"/>
      <w:numFmt w:val="bullet"/>
      <w:lvlText w:val=""/>
      <w:lvlJc w:val="left"/>
      <w:pPr>
        <w:ind w:left="420" w:hanging="420"/>
      </w:pPr>
      <w:rPr>
        <w:rFonts w:hint="default" w:ascii="Wingdings" w:hAnsi="Wingdings"/>
      </w:rPr>
    </w:lvl>
  </w:abstractNum>
  <w:abstractNum w:abstractNumId="3">
    <w:nsid w:val="59FAAE25"/>
    <w:multiLevelType w:val="singleLevel"/>
    <w:tmpl w:val="59FAAE25"/>
    <w:lvl w:ilvl="0" w:tentative="0">
      <w:start w:val="1"/>
      <w:numFmt w:val="bullet"/>
      <w:lvlText w:val=""/>
      <w:lvlJc w:val="left"/>
      <w:pPr>
        <w:ind w:left="420" w:hanging="420"/>
      </w:pPr>
      <w:rPr>
        <w:rFonts w:hint="default" w:ascii="Wingdings" w:hAnsi="Wingdings"/>
      </w:rPr>
    </w:lvl>
  </w:abstractNum>
  <w:abstractNum w:abstractNumId="4">
    <w:nsid w:val="79F32A3D"/>
    <w:multiLevelType w:val="singleLevel"/>
    <w:tmpl w:val="79F32A3D"/>
    <w:lvl w:ilvl="0" w:tentative="0">
      <w:start w:val="1"/>
      <w:numFmt w:val="decimal"/>
      <w:suff w:val="space"/>
      <w:lvlText w:val="%1."/>
      <w:lvlJc w:val="left"/>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xOGQ0ZjE2ZWEwNTA3YjQ0OWE3NjNlMjYwMjM5YzUifQ=="/>
  </w:docVars>
  <w:rsids>
    <w:rsidRoot w:val="790709A9"/>
    <w:rsid w:val="0F4465B2"/>
    <w:rsid w:val="32767059"/>
    <w:rsid w:val="79070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2023-10-18T05:44:00Z</dcterms:created>
  <dc:creator>WPS_1688023501</dc:creator>
  <cp:lastModifiedBy>WPS_1688023501</cp:lastModifiedBy>
  <dcterms:modified xsi:type="dcterms:W3CDTF">2023-10-18T08:07:01Z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904830A123B24F0FBA30DFCCA9E4C191_11</vt:lpwstr>
  </property>
</Properties>
</file>