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91516" w14:textId="0570C1EC" w:rsidR="00A4063A" w:rsidRPr="00A4063A" w:rsidRDefault="00A4063A" w:rsidP="00A4063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A4063A">
        <w:rPr>
          <w:rFonts w:ascii="宋体" w:eastAsia="宋体" w:hAnsi="宋体" w:cs="宋体"/>
          <w:noProof/>
          <w:kern w:val="0"/>
          <w:sz w:val="24"/>
          <w:szCs w:val="24"/>
          <w14:ligatures w14:val="none"/>
        </w:rPr>
        <w:drawing>
          <wp:inline distT="0" distB="0" distL="0" distR="0" wp14:anchorId="4B996CD4" wp14:editId="62056E99">
            <wp:extent cx="5274310" cy="659130"/>
            <wp:effectExtent l="0" t="0" r="2540" b="7620"/>
            <wp:docPr id="12715142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AC03D" w14:textId="7F1F78FA" w:rsidR="00A4063A" w:rsidRPr="00A4063A" w:rsidRDefault="00A4063A" w:rsidP="00A4063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A4063A">
        <w:rPr>
          <w:rFonts w:ascii="宋体" w:eastAsia="宋体" w:hAnsi="宋体" w:cs="宋体"/>
          <w:noProof/>
          <w:kern w:val="0"/>
          <w:sz w:val="24"/>
          <w:szCs w:val="24"/>
          <w14:ligatures w14:val="none"/>
        </w:rPr>
        <w:drawing>
          <wp:inline distT="0" distB="0" distL="0" distR="0" wp14:anchorId="57F0F0BC" wp14:editId="79424A0B">
            <wp:extent cx="5274310" cy="3956050"/>
            <wp:effectExtent l="0" t="0" r="2540" b="6350"/>
            <wp:docPr id="14393724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B66F" w14:textId="77777777" w:rsidR="00A4063A" w:rsidRPr="00A4063A" w:rsidRDefault="00A4063A" w:rsidP="00A4063A">
      <w:pPr>
        <w:widowControl/>
        <w:spacing w:before="225" w:after="225" w:line="480" w:lineRule="atLeas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上海睿璟生物科技有限公司（简称“睿璟生物”/“RIGEN-BIO”）创立于2017年，公司立足于临床需求和自主创新，致力于成为一家服务甲状腺癌术前辅助诊断、术后复发监测及临床综合管理全过程的高科技企业，优化医疗资源，造福更多的病患。</w:t>
      </w:r>
    </w:p>
    <w:p w14:paraId="0F9C84BD" w14:textId="77777777" w:rsidR="00A4063A" w:rsidRPr="00A4063A" w:rsidRDefault="00A4063A" w:rsidP="00A4063A">
      <w:pPr>
        <w:widowControl/>
        <w:spacing w:before="225" w:after="225" w:line="480" w:lineRule="atLeas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proofErr w:type="gramStart"/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睿</w:t>
      </w:r>
      <w:proofErr w:type="gramEnd"/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璟生物拥有占地超过2500m²的国际标准GMP厂房和研发实验室，建立健全了ISO13485质量管理体系。公司已经建立了高度专业化的人才队伍，现有员工超过200人，其中约25%具有硕士及以上学历，约65%具有本科及以上学历。</w:t>
      </w:r>
    </w:p>
    <w:p w14:paraId="78B80681" w14:textId="77777777" w:rsidR="00A4063A" w:rsidRDefault="00A4063A" w:rsidP="00A4063A">
      <w:pPr>
        <w:widowControl/>
        <w:spacing w:before="225" w:after="375" w:line="480" w:lineRule="atLeast"/>
        <w:rPr>
          <w:rFonts w:ascii="微软雅黑" w:eastAsia="微软雅黑" w:hAnsi="微软雅黑" w:cs="宋体"/>
          <w:kern w:val="0"/>
          <w:sz w:val="23"/>
          <w:szCs w:val="23"/>
          <w14:ligatures w14:val="none"/>
        </w:rPr>
      </w:pPr>
      <w:proofErr w:type="gramStart"/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lastRenderedPageBreak/>
        <w:t>睿</w:t>
      </w:r>
      <w:proofErr w:type="gramEnd"/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璟生物秉承“以科技创造价值、以创新引领未来、以品质立信社会、以健康奉献大众”的宗旨，依托荧光定量PCR、数字PCR、高通量测序等多个技术平台，拥有10余项国内发明专利和20余项软件著作权。</w:t>
      </w:r>
    </w:p>
    <w:p w14:paraId="5A464D1F" w14:textId="46DE76C7" w:rsidR="00A4063A" w:rsidRPr="00A4063A" w:rsidRDefault="00A4063A" w:rsidP="00A4063A">
      <w:pPr>
        <w:widowControl/>
        <w:spacing w:before="225" w:after="375" w:line="480" w:lineRule="atLeast"/>
        <w:jc w:val="center"/>
        <w:rPr>
          <w:rFonts w:ascii="微软雅黑" w:eastAsia="微软雅黑" w:hAnsi="微软雅黑" w:cs="宋体"/>
          <w:b/>
          <w:bCs/>
          <w:kern w:val="0"/>
          <w:sz w:val="24"/>
          <w:szCs w:val="24"/>
          <w14:ligatures w14:val="none"/>
        </w:rPr>
      </w:pPr>
      <w:r w:rsidRPr="00A4063A">
        <w:rPr>
          <w:rFonts w:ascii="宋体" w:eastAsia="宋体" w:hAnsi="宋体" w:cs="宋体"/>
          <w:noProof/>
          <w:kern w:val="0"/>
          <w:sz w:val="24"/>
          <w:szCs w:val="24"/>
          <w14:ligatures w14:val="none"/>
        </w:rPr>
        <w:drawing>
          <wp:inline distT="0" distB="0" distL="0" distR="0" wp14:anchorId="51502F77" wp14:editId="27B4CBC9">
            <wp:extent cx="5274310" cy="5490845"/>
            <wp:effectExtent l="0" t="0" r="2540" b="0"/>
            <wp:docPr id="11661647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063A">
        <w:rPr>
          <w:rFonts w:ascii="宋体" w:eastAsia="宋体" w:hAnsi="宋体" w:cs="宋体"/>
          <w:kern w:val="0"/>
          <w:sz w:val="24"/>
          <w:szCs w:val="24"/>
          <w14:ligatures w14:val="none"/>
        </w:rPr>
        <w:br/>
      </w:r>
      <w:proofErr w:type="gramStart"/>
      <w:r w:rsidRPr="00A4063A">
        <w:rPr>
          <w:rFonts w:ascii="微软雅黑" w:eastAsia="微软雅黑" w:hAnsi="微软雅黑" w:cs="宋体"/>
          <w:b/>
          <w:bCs/>
          <w:kern w:val="0"/>
          <w:sz w:val="24"/>
          <w:szCs w:val="24"/>
          <w14:ligatures w14:val="none"/>
        </w:rPr>
        <w:t>睿</w:t>
      </w:r>
      <w:proofErr w:type="gramEnd"/>
      <w:r w:rsidRPr="00A4063A">
        <w:rPr>
          <w:rFonts w:ascii="微软雅黑" w:eastAsia="微软雅黑" w:hAnsi="微软雅黑" w:cs="宋体"/>
          <w:b/>
          <w:bCs/>
          <w:kern w:val="0"/>
          <w:sz w:val="24"/>
          <w:szCs w:val="24"/>
          <w14:ligatures w14:val="none"/>
        </w:rPr>
        <w:t>璟生物资质</w:t>
      </w:r>
    </w:p>
    <w:p w14:paraId="5609746E" w14:textId="77777777" w:rsidR="00A4063A" w:rsidRPr="00A4063A" w:rsidRDefault="00A4063A" w:rsidP="00A4063A">
      <w:pPr>
        <w:widowControl/>
        <w:spacing w:before="375" w:after="225" w:line="480" w:lineRule="atLeas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公司围绕甲状腺结节/甲状腺癌垂直病种，现已开发出了一次性使用甲状腺活检针、多基因qPCR检测试剂盒和NGS检测试剂盒、</w:t>
      </w:r>
      <w:proofErr w:type="spellStart"/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Thyroscan</w:t>
      </w:r>
      <w:proofErr w:type="spellEnd"/>
      <w:r w:rsidRPr="00A4063A">
        <w:rPr>
          <w:rFonts w:ascii="微软雅黑" w:eastAsia="微软雅黑" w:hAnsi="微软雅黑" w:cs="宋体" w:hint="eastAsia"/>
          <w:kern w:val="0"/>
          <w:sz w:val="24"/>
          <w:szCs w:val="24"/>
          <w:vertAlign w:val="superscript"/>
          <w14:ligatures w14:val="none"/>
        </w:rPr>
        <w:t>®</w:t>
      </w:r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甲状腺结节良恶性分类器、术后复发监测等全流程、全系列产品，旨在为客户提供甲状腺癌良恶性判断和</w:t>
      </w:r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lastRenderedPageBreak/>
        <w:t>复发监测分子诊断产品、全程综合管理产品、手术耗材的整体解决方案。公司产品已经服务于超过十五个省/直辖市的近百家大型三甲综合医院和肿瘤专科医院。</w:t>
      </w:r>
    </w:p>
    <w:p w14:paraId="43C48C75" w14:textId="77777777" w:rsidR="00A4063A" w:rsidRPr="00A4063A" w:rsidRDefault="00A4063A" w:rsidP="00A4063A">
      <w:pPr>
        <w:widowControl/>
        <w:spacing w:before="225" w:after="225" w:line="480" w:lineRule="atLeas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经过多年的潜心钻研，公司自主研发的甲状腺癌多基因qPCR检测产品已经完成临床研究，即将获证，NGS检测产品已经进入临床注册阶段。</w:t>
      </w:r>
    </w:p>
    <w:p w14:paraId="664D3EF1" w14:textId="77777777" w:rsidR="00A4063A" w:rsidRPr="00A4063A" w:rsidRDefault="00A4063A" w:rsidP="00A4063A">
      <w:pPr>
        <w:widowControl/>
        <w:spacing w:before="225" w:after="225" w:line="480" w:lineRule="atLeas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作为国内甲状腺癌分子诊断解决方案领跑者，2021年2月、2022年4月，</w:t>
      </w:r>
      <w:proofErr w:type="gramStart"/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睿</w:t>
      </w:r>
      <w:proofErr w:type="gramEnd"/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璟生物分别完成两轮融资，公司正在实现从研究转化到商业运营IVD平台型企业的飞跃。</w:t>
      </w:r>
    </w:p>
    <w:p w14:paraId="3C74869B" w14:textId="77777777" w:rsidR="00A4063A" w:rsidRPr="00A4063A" w:rsidRDefault="00A4063A" w:rsidP="00A4063A">
      <w:pPr>
        <w:widowControl/>
        <w:spacing w:before="225" w:after="225" w:line="480" w:lineRule="atLeast"/>
        <w:rPr>
          <w:rFonts w:ascii="宋体" w:eastAsia="宋体" w:hAnsi="宋体" w:cs="宋体"/>
          <w:kern w:val="0"/>
          <w:sz w:val="24"/>
          <w:szCs w:val="24"/>
          <w14:ligatures w14:val="none"/>
        </w:rPr>
      </w:pPr>
      <w:proofErr w:type="gramStart"/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睿</w:t>
      </w:r>
      <w:proofErr w:type="gramEnd"/>
      <w:r w:rsidRPr="00A4063A">
        <w:rPr>
          <w:rFonts w:ascii="微软雅黑" w:eastAsia="微软雅黑" w:hAnsi="微软雅黑" w:cs="宋体" w:hint="eastAsia"/>
          <w:kern w:val="0"/>
          <w:sz w:val="23"/>
          <w:szCs w:val="23"/>
          <w14:ligatures w14:val="none"/>
        </w:rPr>
        <w:t>璟生物专注于基因科技的创新和发展，坚持以科学为导向，服务临床，立志于让每一位肿瘤患者都能受益于分子诊断和精准诊疗。</w:t>
      </w:r>
    </w:p>
    <w:p w14:paraId="4B4EB4F1" w14:textId="5F7F8A21" w:rsidR="00A4063A" w:rsidRPr="00A4063A" w:rsidRDefault="00A4063A" w:rsidP="00A4063A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vanish/>
          <w:kern w:val="0"/>
          <w:sz w:val="24"/>
          <w:szCs w:val="24"/>
          <w14:ligatures w14:val="none"/>
        </w:rPr>
      </w:pPr>
      <w:r w:rsidRPr="00A4063A">
        <w:rPr>
          <w:rFonts w:ascii="宋体" w:eastAsia="宋体" w:hAnsi="宋体" w:cs="宋体"/>
          <w:noProof/>
          <w:kern w:val="0"/>
          <w:sz w:val="24"/>
          <w:szCs w:val="24"/>
          <w14:ligatures w14:val="none"/>
        </w:rPr>
        <w:drawing>
          <wp:inline distT="0" distB="0" distL="0" distR="0" wp14:anchorId="0C39D9E6" wp14:editId="08B86828">
            <wp:extent cx="5274310" cy="2969260"/>
            <wp:effectExtent l="0" t="0" r="2540" b="2540"/>
            <wp:docPr id="1363592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0A3E" w14:textId="77777777" w:rsidR="00DA0B30" w:rsidRDefault="00DA0B30">
      <w:pPr>
        <w:rPr>
          <w:rFonts w:hint="eastAsia"/>
        </w:rPr>
      </w:pPr>
    </w:p>
    <w:sectPr w:rsidR="00DA0B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5DDA5" w14:textId="77777777" w:rsidR="00FA7B2C" w:rsidRDefault="00FA7B2C" w:rsidP="00A4063A">
      <w:r>
        <w:separator/>
      </w:r>
    </w:p>
  </w:endnote>
  <w:endnote w:type="continuationSeparator" w:id="0">
    <w:p w14:paraId="036AE428" w14:textId="77777777" w:rsidR="00FA7B2C" w:rsidRDefault="00FA7B2C" w:rsidP="00A40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CC004" w14:textId="77777777" w:rsidR="00FA7B2C" w:rsidRDefault="00FA7B2C" w:rsidP="00A4063A">
      <w:r>
        <w:separator/>
      </w:r>
    </w:p>
  </w:footnote>
  <w:footnote w:type="continuationSeparator" w:id="0">
    <w:p w14:paraId="1940E172" w14:textId="77777777" w:rsidR="00FA7B2C" w:rsidRDefault="00FA7B2C" w:rsidP="00A406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B30"/>
    <w:rsid w:val="00A4063A"/>
    <w:rsid w:val="00DA0B30"/>
    <w:rsid w:val="00FA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9DC6A"/>
  <w15:chartTrackingRefBased/>
  <w15:docId w15:val="{25C271A4-2FE6-42AD-8D8E-50570D0BC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063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063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06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063A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A4063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character" w:styleId="a8">
    <w:name w:val="Strong"/>
    <w:basedOn w:val="a0"/>
    <w:uiPriority w:val="22"/>
    <w:qFormat/>
    <w:rsid w:val="00A406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7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潘淼</dc:creator>
  <cp:keywords/>
  <dc:description/>
  <cp:lastModifiedBy>潘淼</cp:lastModifiedBy>
  <cp:revision>2</cp:revision>
  <dcterms:created xsi:type="dcterms:W3CDTF">2023-07-19T05:16:00Z</dcterms:created>
  <dcterms:modified xsi:type="dcterms:W3CDTF">2023-07-19T05:16:00Z</dcterms:modified>
</cp:coreProperties>
</file>